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79a32052540aa5376b198e75cb02a0e86543f82"/>
    <w:p>
      <w:pPr>
        <w:pStyle w:val="Heading1"/>
      </w:pPr>
      <w:r>
        <w:t xml:space="preserve">Sales Report: Legal Services Performance Analysis for [Law Firm Name]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legal practice across Myanmar Yangon during the first nine months of 2023. As a premier law firm serving Myanmar Yangon's dynamic business landscape, we achieved a 15% year-over-year increase in revenue from legal services, totaling MMK 87.4 billion (approximately USD $52 million). The report underscores how strategic client acquisition in Yangon's commercial hubs—from Sule Pagoda to Bahan District—has solidified our position as the</w:t>
      </w:r>
      <w:r>
        <w:t xml:space="preserve"> </w:t>
      </w:r>
      <w:r>
        <w:rPr>
          <w:iCs/>
          <w:i/>
        </w:rPr>
        <w:t xml:space="preserve">premier Lawyer</w:t>
      </w:r>
      <w:r>
        <w:t xml:space="preserve"> </w:t>
      </w:r>
      <w:r>
        <w:t xml:space="preserve">partnership for both multinational corporations and local enterprises operating within Myanmar Yangon. Notably, 78% of new business originated from referrals within Myanmar Yangon's legal community, affirming our market leadership.</w:t>
      </w:r>
    </w:p>
    <w:bookmarkEnd w:id="20"/>
    <w:bookmarkStart w:id="21" w:name="X31bbd0fcf5a796ece98d00558f5b8730364bf6f"/>
    <w:p>
      <w:pPr>
        <w:pStyle w:val="Heading2"/>
      </w:pPr>
      <w:r>
        <w:t xml:space="preserve">II. Sales Performance Highlights in Myanmar Yangon</w:t>
      </w:r>
    </w:p>
    <w:p>
      <w:pPr>
        <w:pStyle w:val="FirstParagraph"/>
      </w:pPr>
      <w:r>
        <w:rPr>
          <w:bCs/>
          <w:b/>
        </w:rPr>
        <w:t xml:space="preserve">Revenue Streams (Yangon Focus):</w:t>
      </w:r>
    </w:p>
    <w:p>
      <w:pPr>
        <w:numPr>
          <w:ilvl w:val="0"/>
          <w:numId w:val="1001"/>
        </w:numPr>
        <w:pStyle w:val="Compact"/>
      </w:pPr>
      <w:r>
        <w:rPr>
          <w:bCs/>
          <w:b/>
        </w:rPr>
        <w:t xml:space="preserve">Commercial Litigation:</w:t>
      </w:r>
      <w:r>
        <w:t xml:space="preserve"> </w:t>
      </w:r>
      <w:r>
        <w:t xml:space="preserve">MMK 34.1 billion (↑22% YoY) – Driven by high-stakes disputes in Yangon's real estate and manufacturing sectors</w:t>
      </w:r>
    </w:p>
    <w:p>
      <w:pPr>
        <w:numPr>
          <w:ilvl w:val="0"/>
          <w:numId w:val="1001"/>
        </w:numPr>
        <w:pStyle w:val="Compact"/>
      </w:pPr>
      <w:r>
        <w:rPr>
          <w:bCs/>
          <w:b/>
        </w:rPr>
        <w:t xml:space="preserve">M&amp;A Advisory:</w:t>
      </w:r>
      <w:r>
        <w:t xml:space="preserve"> </w:t>
      </w:r>
      <w:r>
        <w:t xml:space="preserve">MMK 28.7 billion (↑35% YoY) – Dominated transactions involving foreign investors entering Myanmar Yangon markets</w:t>
      </w:r>
    </w:p>
    <w:p>
      <w:pPr>
        <w:numPr>
          <w:ilvl w:val="0"/>
          <w:numId w:val="1001"/>
        </w:numPr>
        <w:pStyle w:val="Compact"/>
      </w:pPr>
      <w:r>
        <w:rPr>
          <w:bCs/>
          <w:b/>
        </w:rPr>
        <w:t xml:space="preserve">Regulatory Compliance:</w:t>
      </w:r>
      <w:r>
        <w:t xml:space="preserve"> </w:t>
      </w:r>
      <w:r>
        <w:t xml:space="preserve">MMK 19.6 billion (↑18% YoY) – Surged due to new Myanmar Yangon business licensing reforms</w:t>
      </w:r>
    </w:p>
    <w:p>
      <w:pPr>
        <w:numPr>
          <w:ilvl w:val="0"/>
          <w:numId w:val="1001"/>
        </w:numPr>
        <w:pStyle w:val="Compact"/>
      </w:pPr>
      <w:r>
        <w:rPr>
          <w:bCs/>
          <w:b/>
        </w:rPr>
        <w:t xml:space="preserve">Civil Rights Advocacy:</w:t>
      </w:r>
      <w:r>
        <w:t xml:space="preserve"> </w:t>
      </w:r>
      <w:r>
        <w:t xml:space="preserve">MMK 5.0 billion – Expanded pro-bono services for marginalized communities in Yangon townships</w:t>
      </w:r>
    </w:p>
    <w:p>
      <w:pPr>
        <w:pStyle w:val="FirstParagraph"/>
      </w:pPr>
      <w:r>
        <w:t xml:space="preserve">Key metric: Client retention rate in Myanmar Yangon reached 89%, significantly above the national average of 74%. This success stems from our specialized understanding of Yangon's unique legal ecosystem, where we've navigated complex land disputes affecting &gt;120 commercial developments across Thilawa Port to Mingaladon.</w:t>
      </w:r>
    </w:p>
    <w:bookmarkEnd w:id="21"/>
    <w:bookmarkStart w:id="22" w:name="Xc57fa005a01422ba2c1b8d8a1e5ea59af77e9ee"/>
    <w:p>
      <w:pPr>
        <w:pStyle w:val="Heading2"/>
      </w:pPr>
      <w:r>
        <w:t xml:space="preserve">III. Market Analysis: Myanmar Yangon's Legal Landscape</w:t>
      </w:r>
    </w:p>
    <w:p>
      <w:pPr>
        <w:pStyle w:val="FirstParagraph"/>
      </w:pPr>
      <w:r>
        <w:t xml:space="preserve">Yangon remains the undisputed commercial heart of Myanmar, accounting for 68% of national corporate registrations. Our Sales Report identifies three pivotal trends shaping demand for a skilled Lawyer in this region:</w:t>
      </w:r>
    </w:p>
    <w:p>
      <w:pPr>
        <w:numPr>
          <w:ilvl w:val="0"/>
          <w:numId w:val="1002"/>
        </w:numPr>
        <w:pStyle w:val="Compact"/>
      </w:pPr>
      <w:r>
        <w:rPr>
          <w:bCs/>
          <w:b/>
        </w:rPr>
        <w:t xml:space="preserve">Post-2021 Regulatory Shifts:</w:t>
      </w:r>
      <w:r>
        <w:t xml:space="preserve"> </w:t>
      </w:r>
      <w:r>
        <w:t xml:space="preserve">New tax codes and foreign investment laws (effective Q2 2023) generated unprecedented compliance work. Our Yangon office processed 478 regulatory filings for clients, exceeding our target by 31%.</w:t>
      </w:r>
    </w:p>
    <w:p>
      <w:pPr>
        <w:numPr>
          <w:ilvl w:val="0"/>
          <w:numId w:val="1002"/>
        </w:numPr>
        <w:pStyle w:val="Compact"/>
      </w:pPr>
      <w:r>
        <w:rPr>
          <w:bCs/>
          <w:b/>
        </w:rPr>
        <w:t xml:space="preserve">Economic Diversification:</w:t>
      </w:r>
      <w:r>
        <w:t xml:space="preserve"> </w:t>
      </w:r>
      <w:r>
        <w:t xml:space="preserve">Growth in Yangon's tech sector (e.g., Myanmar Startup Hub in Dagon City) created demand for IP law and data privacy services – an area where we captured 62% market share.</w:t>
      </w:r>
    </w:p>
    <w:p>
      <w:pPr>
        <w:numPr>
          <w:ilvl w:val="0"/>
          <w:numId w:val="1002"/>
        </w:numPr>
        <w:pStyle w:val="Compact"/>
      </w:pPr>
      <w:r>
        <w:rPr>
          <w:bCs/>
          <w:b/>
        </w:rPr>
        <w:t xml:space="preserve">Infrastructure Boom:</w:t>
      </w:r>
      <w:r>
        <w:t xml:space="preserve"> </w:t>
      </w:r>
      <w:r>
        <w:t xml:space="preserve">With over $18 billion invested in Yangon's transportation and energy sectors (2023), construction litigation cases rose by 45% YoY, requiring urgent legal intervention from our Yangon-based Lawyer team.</w:t>
      </w:r>
    </w:p>
    <w:bookmarkEnd w:id="22"/>
    <w:bookmarkStart w:id="23" w:name="X32006b30f1f526f3c1954cb8e92801b749e908e"/>
    <w:p>
      <w:pPr>
        <w:pStyle w:val="Heading2"/>
      </w:pPr>
      <w:r>
        <w:t xml:space="preserve">IV. Client Satisfaction &amp; Testimonials from Myanmar Yangon</w:t>
      </w:r>
    </w:p>
    <w:p>
      <w:pPr>
        <w:pStyle w:val="FirstParagraph"/>
      </w:pPr>
      <w:r>
        <w:t xml:space="preserve">Client feedback directly links to our Sales Report success. In a post-engagement survey of 197 Myanmar Yangon clients:</w:t>
      </w:r>
    </w:p>
    <w:p>
      <w:pPr>
        <w:pStyle w:val="BlockText"/>
      </w:pPr>
      <w:r>
        <w:rPr>
          <w:bCs/>
          <w:b/>
        </w:rPr>
        <w:t xml:space="preserve">"Working with [Law Firm Name] in Yangon transformed our M&amp;A strategy. Their local expertise navigated the Myanmar government's complex approval processes seamlessly."</w:t>
      </w:r>
      <w:r>
        <w:br/>
      </w:r>
      <w:r>
        <w:rPr>
          <w:iCs/>
          <w:i/>
        </w:rPr>
        <w:t xml:space="preserve">- Managing Director, Japanese Conglomerate (Yangon Office)</w:t>
      </w:r>
    </w:p>
    <w:p>
      <w:pPr>
        <w:pStyle w:val="BlockText"/>
      </w:pPr>
      <w:r>
        <w:rPr>
          <w:bCs/>
          <w:b/>
        </w:rPr>
        <w:t xml:space="preserve">"As a local Yangon manufacturer, we were terrified of litigation. Our Lawyer at [Firm Name] secured a landmark victory in less than six months – exactly what our business needed."</w:t>
      </w:r>
      <w:r>
        <w:br/>
      </w:r>
      <w:r>
        <w:rPr>
          <w:iCs/>
          <w:i/>
        </w:rPr>
        <w:t xml:space="preserve">- Founder, Yangon Textile Consortium</w:t>
      </w:r>
    </w:p>
    <w:bookmarkEnd w:id="23"/>
    <w:bookmarkStart w:id="24" w:name="X8941f002dfa418b911521efca46a7b4c22d3035"/>
    <w:p>
      <w:pPr>
        <w:pStyle w:val="Heading2"/>
      </w:pPr>
      <w:r>
        <w:t xml:space="preserve">V. Challenges &amp; Strategic Responses in Myanmar Yangon</w:t>
      </w:r>
    </w:p>
    <w:p>
      <w:pPr>
        <w:pStyle w:val="FirstParagraph"/>
      </w:pPr>
      <w:r>
        <w:t xml:space="preserve">Operating as a Lawyer firm within Myanmar Yangon presents unique hurdles. This Sales Report identifies critical challenges and our responsive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Strategic Response</w:t>
            </w:r>
          </w:p>
        </w:tc>
        <w:tc>
          <w:tcPr/>
          <w:p>
            <w:pPr>
              <w:pStyle w:val="Compact"/>
              <w:jc w:val="left"/>
            </w:pPr>
            <w:r>
              <w:t xml:space="preserve">Yangon-Specific Impact</w:t>
            </w:r>
          </w:p>
        </w:tc>
      </w:tr>
      <w:tr>
        <w:tc>
          <w:tcPr/>
          <w:p>
            <w:pPr>
              <w:pStyle w:val="Compact"/>
              <w:jc w:val="left"/>
            </w:pPr>
            <w:r>
              <w:t xml:space="preserve">Limited Local Legal Data Availability</w:t>
            </w:r>
          </w:p>
        </w:tc>
        <w:tc>
          <w:tcPr/>
          <w:p>
            <w:pPr>
              <w:pStyle w:val="Compact"/>
              <w:jc w:val="left"/>
            </w:pPr>
            <w:r>
              <w:t xml:space="preserve">Launched Yangon Legal Intelligence Database with 200+ case analytics from Myanmar courts (2023)</w:t>
            </w:r>
          </w:p>
        </w:tc>
        <w:tc>
          <w:tcPr/>
          <w:p>
            <w:pPr>
              <w:pStyle w:val="Compact"/>
              <w:jc w:val="left"/>
            </w:pPr>
            <w:r>
              <w:t xml:space="preserve">Reduced case preparation time by 35% for Yangon-based clients</w:t>
            </w:r>
          </w:p>
        </w:tc>
      </w:tr>
      <w:tr>
        <w:tc>
          <w:tcPr/>
          <w:p>
            <w:pPr>
              <w:pStyle w:val="Compact"/>
              <w:jc w:val="left"/>
            </w:pPr>
            <w:r>
              <w:t xml:space="preserve">Currency Volatility Affecting Fee Collections</w:t>
            </w:r>
          </w:p>
        </w:tc>
        <w:tc>
          <w:tcPr/>
          <w:p>
            <w:pPr>
              <w:pStyle w:val="Compact"/>
              <w:jc w:val="left"/>
            </w:pPr>
            <w:r>
              <w:t xml:space="preserve">Implemented USD-pegged fee structures for all Myanmar Yangon contracts</w:t>
            </w:r>
          </w:p>
        </w:tc>
        <w:tc>
          <w:tcPr/>
          <w:p>
            <w:pPr>
              <w:pStyle w:val="Compact"/>
              <w:jc w:val="left"/>
            </w:pPr>
            <w:r>
              <w:t xml:space="preserve">Stabilized revenue streams despite MMK depreciation (2023: 17% devaluation)</w:t>
            </w:r>
          </w:p>
        </w:tc>
      </w:tr>
      <w:tr>
        <w:tc>
          <w:tcPr/>
          <w:p>
            <w:pPr>
              <w:pStyle w:val="Compact"/>
              <w:jc w:val="left"/>
            </w:pPr>
            <w:r>
              <w:t xml:space="preserve">Competition from Unlicensed Practitioners</w:t>
            </w:r>
          </w:p>
        </w:tc>
        <w:tc>
          <w:tcPr/>
          <w:p>
            <w:pPr>
              <w:pStyle w:val="Compact"/>
              <w:jc w:val="left"/>
            </w:pPr>
            <w:r>
              <w:t xml:space="preserve">Partnered with Myanmar Bar Association for public awareness campaigns in Yangon</w:t>
            </w:r>
          </w:p>
        </w:tc>
        <w:tc>
          <w:tcPr/>
          <w:p>
            <w:pPr>
              <w:pStyle w:val="Compact"/>
              <w:jc w:val="left"/>
            </w:pPr>
            <w:r>
              <w:t xml:space="preserve">Increased client trust by 52% among new Yangon businesses</w:t>
            </w:r>
          </w:p>
        </w:tc>
      </w:tr>
    </w:tbl>
    <w:bookmarkEnd w:id="24"/>
    <w:bookmarkStart w:id="25" w:name="X53e45cfd042dff80b80c72d81456128e9741af6"/>
    <w:p>
      <w:pPr>
        <w:pStyle w:val="Heading2"/>
      </w:pPr>
      <w:r>
        <w:t xml:space="preserve">VI. Future Growth Strategy for Myanmar Yangon Operations</w:t>
      </w:r>
    </w:p>
    <w:p>
      <w:pPr>
        <w:pStyle w:val="FirstParagraph"/>
      </w:pPr>
      <w:r>
        <w:t xml:space="preserve">This Sales Report concludes with a forward-looking roadmap for our Lawyer practice in Myanmar Yangon:</w:t>
      </w:r>
    </w:p>
    <w:p>
      <w:pPr>
        <w:numPr>
          <w:ilvl w:val="0"/>
          <w:numId w:val="1003"/>
        </w:numPr>
        <w:pStyle w:val="Compact"/>
      </w:pPr>
      <w:r>
        <w:rPr>
          <w:bCs/>
          <w:b/>
        </w:rPr>
        <w:t xml:space="preserve">Yangon-Specific Legal Tech Investment:</w:t>
      </w:r>
      <w:r>
        <w:t xml:space="preserve"> </w:t>
      </w:r>
      <w:r>
        <w:t xml:space="preserve">Allocate MMK 15 billion to develop a digital case management platform tailored for Myanmar's court system (launch Q2 2024)</w:t>
      </w:r>
    </w:p>
    <w:p>
      <w:pPr>
        <w:numPr>
          <w:ilvl w:val="0"/>
          <w:numId w:val="1003"/>
        </w:numPr>
        <w:pStyle w:val="Compact"/>
      </w:pPr>
      <w:r>
        <w:rPr>
          <w:bCs/>
          <w:b/>
        </w:rPr>
        <w:t xml:space="preserve">Community Engagement Initiatives:</w:t>
      </w:r>
      <w:r>
        <w:t xml:space="preserve"> </w:t>
      </w:r>
      <w:r>
        <w:t xml:space="preserve">Expand pro-bono clinics in Yangon's low-income townships (target: 3 new sites by year-end) to build goodwill and client pipelines</w:t>
      </w:r>
    </w:p>
    <w:p>
      <w:pPr>
        <w:numPr>
          <w:ilvl w:val="0"/>
          <w:numId w:val="1003"/>
        </w:numPr>
        <w:pStyle w:val="Compact"/>
      </w:pPr>
      <w:r>
        <w:rPr>
          <w:bCs/>
          <w:b/>
        </w:rPr>
        <w:t xml:space="preserve">Strategic Partnerships:</w:t>
      </w:r>
      <w:r>
        <w:t xml:space="preserve"> </w:t>
      </w:r>
      <w:r>
        <w:t xml:space="preserve">Forge alliances with Yangon Chamber of Commerce for monthly business legal workshops</w:t>
      </w:r>
    </w:p>
    <w:p>
      <w:pPr>
        <w:pStyle w:val="FirstParagraph"/>
      </w:pPr>
      <w:r>
        <w:t xml:space="preserve">We project 20% revenue growth for Myanmar Yangon operations in 2024, driven by our deep integration into the city's economic fabric. As a leading Lawyer firm, we've moved beyond transactional services to become an indispensable strategic partner for businesses navigating Myanmar Yangon's evolving legal terrain.</w:t>
      </w:r>
    </w:p>
    <w:bookmarkEnd w:id="25"/>
    <w:bookmarkStart w:id="26" w:name="vii.-conclusion"/>
    <w:p>
      <w:pPr>
        <w:pStyle w:val="Heading2"/>
      </w:pPr>
      <w:r>
        <w:t xml:space="preserve">VII. Conclusion</w:t>
      </w:r>
    </w:p>
    <w:p>
      <w:pPr>
        <w:pStyle w:val="FirstParagraph"/>
      </w:pPr>
      <w:r>
        <w:t xml:space="preserve">This Sales Report confirms that [Law Firm Name]'s specialization as a Lawyer in Myanmar Yangon delivers exceptional client outcomes and sustainable revenue growth. The 15% YoY increase in sales – achieved despite macroeconomic volatility – demonstrates our unique value proposition: a practice that understands the intricacies of operating within Yangon's business environment. As we continue to invest in local expertise, technology, and community partnerships across Myanmar Yangon, we remain committed to being the trusted legal advisor for every major enterprise seeking success in Myanmar's commercial capital.</w:t>
      </w:r>
    </w:p>
    <w:p>
      <w:pPr>
        <w:pStyle w:val="BodyText"/>
      </w:pPr>
      <w:r>
        <w:rPr>
          <w:bCs/>
          <w:b/>
        </w:rPr>
        <w:t xml:space="preserve">Prepared by:</w:t>
      </w:r>
      <w:r>
        <w:t xml:space="preserve"> </w:t>
      </w:r>
      <w:r>
        <w:t xml:space="preserve">[Name], Head of Client Solutions</w:t>
      </w:r>
      <w:r>
        <w:br/>
      </w:r>
      <w:r>
        <w:rPr>
          <w:bCs/>
          <w:b/>
        </w:rPr>
        <w:t xml:space="preserve">Firm:</w:t>
      </w:r>
      <w:r>
        <w:t xml:space="preserve"> </w:t>
      </w:r>
      <w:r>
        <w:t xml:space="preserve">[Law Firm Name] – Premier Legal Counsel in Myanmar Yangon</w:t>
      </w:r>
    </w:p>
    <w:p>
      <w:pPr>
        <w:pStyle w:val="BodyText"/>
      </w:pPr>
      <w:r>
        <w:rPr>
          <w:iCs/>
          <w:i/>
        </w:rPr>
        <w:t xml:space="preserve">This Sales Report is confidential and intended solely for internal use by [Law Firm Name] leadership. All data sources verified through our Yangon office operations (2023 Q1-Q3).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Myanmar Yangon</dc:title>
  <dc:creator/>
  <dc:language>en</dc:language>
  <cp:keywords/>
  <dcterms:created xsi:type="dcterms:W3CDTF">2026-07-21T13:13:40Z</dcterms:created>
  <dcterms:modified xsi:type="dcterms:W3CDTF">2026-07-21T13:13:40Z</dcterms:modified>
</cp:coreProperties>
</file>

<file path=docProps/custom.xml><?xml version="1.0" encoding="utf-8"?>
<Properties xmlns="http://schemas.openxmlformats.org/officeDocument/2006/custom-properties" xmlns:vt="http://schemas.openxmlformats.org/officeDocument/2006/docPropsVTypes"/>
</file>