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Sales</w:t>
      </w:r>
      <w:r>
        <w:t xml:space="preserve"> </w:t>
      </w:r>
      <w:r>
        <w:t xml:space="preserve">Performance</w:t>
      </w:r>
      <w:r>
        <w:t xml:space="preserve"> </w:t>
      </w:r>
      <w:r>
        <w:t xml:space="preserve">Report:</w:t>
      </w:r>
      <w:r>
        <w:t xml:space="preserve"> </w:t>
      </w:r>
      <w:r>
        <w:t xml:space="preserve">Netherlands</w:t>
      </w:r>
      <w:r>
        <w:t xml:space="preserve"> </w:t>
      </w:r>
      <w:r>
        <w:t xml:space="preserve">Amsterdam</w:t>
      </w:r>
    </w:p>
    <w:bookmarkStart w:id="31" w:name="X401c1ff4165aa60e9e322031b719d75164ce0a5"/>
    <w:p>
      <w:pPr>
        <w:pStyle w:val="Heading1"/>
      </w:pPr>
      <w:r>
        <w:t xml:space="preserve">Sales Report: Legal Practice Performance Analysis - Netherlands Amsterdam Market</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outlook for our legal practice operating in the Netherlands Amsterdam jurisdiction. As a leading legal firm serving multinational corporations and local enterprises, we've achieved remarkable growth in client acquisition and service delivery across Amsterdam's dynamic legal landscape. This document specifically examines how our dedicated Lawyer services have driven revenue growth while navigating the unique regulatory environment of Netherlands Amsterdam. The data confirms that strategic positioning as a specialized legal partner has cemented our market leadership position.</w:t>
      </w:r>
    </w:p>
    <w:bookmarkEnd w:id="20"/>
    <w:bookmarkStart w:id="21" w:name="X0026fd09edaf8e0a0163a4b258c444d1d1ea79a"/>
    <w:p>
      <w:pPr>
        <w:pStyle w:val="Heading2"/>
      </w:pPr>
      <w:r>
        <w:t xml:space="preserve">Market Context: Netherlands Amsterdam Legal Landscape</w:t>
      </w:r>
    </w:p>
    <w:p>
      <w:pPr>
        <w:pStyle w:val="FirstParagraph"/>
      </w:pPr>
      <w:r>
        <w:t xml:space="preserve">The legal sector in Netherlands Amsterdam operates within a highly competitive, yet regulated ecosystem governed by Dutch civil law traditions and EU compliance frameworks. With Amsterdam serving as the financial and business capital of the Netherlands, demand for sophisticated legal services has surged across corporate, commercial, and international domains. Our Sales Report indicates that 78% of our new clients in Q3 2023 specifically sought a Lawyer with deep expertise in Dutch commercial law coupled with EU regulatory navigation. The Netherlands Amsterdam market now represents 65% of our total European revenue, underscoring its strategic importance to our global operations.</w:t>
      </w:r>
    </w:p>
    <w:bookmarkEnd w:id="21"/>
    <w:bookmarkStart w:id="22" w:name="key-sales-performance-metrics-q1-q3-2023"/>
    <w:p>
      <w:pPr>
        <w:pStyle w:val="Heading2"/>
      </w:pPr>
      <w:r>
        <w:t xml:space="preserve">Key 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 of Netherlands Amsterdam Revenue</w:t>
            </w:r>
          </w:p>
        </w:tc>
      </w:tr>
      <w:tr>
        <w:tc>
          <w:tcPr/>
          <w:p>
            <w:pPr>
              <w:pStyle w:val="Compact"/>
              <w:jc w:val="left"/>
            </w:pPr>
            <w:r>
              <w:t xml:space="preserve">Total Client Acquisition</w:t>
            </w:r>
          </w:p>
        </w:tc>
        <w:tc>
          <w:tcPr/>
          <w:p>
            <w:pPr>
              <w:pStyle w:val="Compact"/>
              <w:jc w:val="left"/>
            </w:pPr>
            <w:r>
              <w:t xml:space="preserve">47 new clients</w:t>
            </w:r>
          </w:p>
        </w:tc>
        <w:tc>
          <w:tcPr/>
          <w:p>
            <w:pPr>
              <w:pStyle w:val="Compact"/>
              <w:jc w:val="left"/>
            </w:pPr>
            <w:r>
              <w:t xml:space="preserve">+22%</w:t>
            </w:r>
          </w:p>
        </w:tc>
        <w:tc>
          <w:tcPr/>
          <w:p>
            <w:pPr>
              <w:pStyle w:val="Compact"/>
              <w:jc w:val="left"/>
            </w:pPr>
            <w:r>
              <w:t xml:space="preserve">89%</w:t>
            </w:r>
          </w:p>
        </w:tc>
      </w:tr>
      <w:tr>
        <w:tc>
          <w:tcPr/>
          <w:p>
            <w:pPr>
              <w:pStyle w:val="Compact"/>
              <w:jc w:val="left"/>
            </w:pPr>
            <w:r>
              <w:t xml:space="preserve">Average Contract Value (Amsterdam)</w:t>
            </w:r>
          </w:p>
        </w:tc>
        <w:tc>
          <w:tcPr/>
          <w:p>
            <w:pPr>
              <w:pStyle w:val="Compact"/>
              <w:jc w:val="left"/>
            </w:pPr>
            <w:r>
              <w:t xml:space="preserve">€148,500</w:t>
            </w:r>
          </w:p>
        </w:tc>
        <w:tc>
          <w:tcPr/>
          <w:p>
            <w:pPr>
              <w:pStyle w:val="Compact"/>
              <w:jc w:val="left"/>
            </w:pPr>
            <w:r>
              <w:t xml:space="preserve">+15%</w:t>
            </w:r>
          </w:p>
        </w:tc>
        <w:tc>
          <w:tcPr/>
          <w:p>
            <w:pPr>
              <w:pStyle w:val="Compact"/>
              <w:jc w:val="left"/>
            </w:pPr>
            <w:r>
              <w:t xml:space="preserve">N/A</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+7% YoY</w:t>
            </w:r>
          </w:p>
        </w:tc>
        <w:tc>
          <w:tcPr/>
          <w:p>
            <w:pPr>
              <w:pStyle w:val="Compact"/>
              <w:jc w:val="left"/>
            </w:pPr>
            <w:r>
              <w:t xml:space="preserve">94% (Amsterdam)</w:t>
            </w:r>
          </w:p>
        </w:tc>
      </w:tr>
      <w:tr>
        <w:tc>
          <w:tcPr/>
          <w:p>
            <w:pPr>
              <w:pStyle w:val="Compact"/>
              <w:jc w:val="left"/>
            </w:pPr>
            <w:r>
              <w:t xml:space="preserve">Referral Rate from Netherlands Amsterdam Clients</w:t>
            </w:r>
          </w:p>
        </w:tc>
        <w:tc>
          <w:tcPr/>
          <w:p>
            <w:pPr>
              <w:pStyle w:val="Compact"/>
              <w:jc w:val="left"/>
            </w:pPr>
            <w:r>
              <w:t xml:space="preserve">63%</w:t>
            </w:r>
          </w:p>
        </w:tc>
        <w:tc>
          <w:tcPr/>
          <w:p>
            <w:pPr>
              <w:pStyle w:val="Compact"/>
              <w:jc w:val="left"/>
            </w:pPr>
            <w:r>
              <w:t xml:space="preserve">+18% YoY</w:t>
            </w:r>
          </w:p>
        </w:tc>
        <w:tc>
          <w:tcPr/>
          <w:p>
            <w:pPr>
              <w:pStyle w:val="Compact"/>
              <w:jc w:val="left"/>
            </w:pPr>
            <w:r>
              <w:t xml:space="preserve">N/A</w:t>
            </w:r>
          </w:p>
        </w:tc>
      </w:tr>
    </w:tbl>
    <w:p>
      <w:pPr>
        <w:pStyle w:val="BodyText"/>
      </w:pPr>
      <w:r>
        <w:t xml:space="preserve">The data reveals a compelling narrative: our Lawyer's specialized approach to Dutch legal compliance has directly fueled this performance. Notably, 72% of new Netherlands Amsterdam clients engaged us specifically for cross-border dispute resolution services – an area where our Amsterdam-based Lawyer team demonstrated exceptional expertise in navigating Hague Convention protocols and EU Directives.</w:t>
      </w:r>
    </w:p>
    <w:bookmarkEnd w:id="22"/>
    <w:bookmarkStart w:id="26" w:name="service-specific-sales-analysis"/>
    <w:p>
      <w:pPr>
        <w:pStyle w:val="Heading2"/>
      </w:pPr>
      <w:r>
        <w:t xml:space="preserve">Service-Specific Sales Analysis</w:t>
      </w:r>
    </w:p>
    <w:p>
      <w:pPr>
        <w:pStyle w:val="FirstParagraph"/>
      </w:pPr>
      <w:r>
        <w:t xml:space="preserve">Our Sales Report highlights three high-performing service lines driving Netherlands Amsterdam revenue:</w:t>
      </w:r>
    </w:p>
    <w:bookmarkStart w:id="23" w:name="corporate-compliance-solutions"/>
    <w:p>
      <w:pPr>
        <w:pStyle w:val="Heading3"/>
      </w:pPr>
      <w:r>
        <w:t xml:space="preserve">1. Corporate Compliance Solutions</w:t>
      </w:r>
    </w:p>
    <w:p>
      <w:pPr>
        <w:pStyle w:val="FirstParagraph"/>
      </w:pPr>
      <w:r>
        <w:t xml:space="preserve">Accounting for 41% of our Amsterdam sales, this segment saw 35% YoY growth as businesses sought Lawyer assistance with the Dutch Tax Authority (Belastingdienst) regulations and GDPR implementation. The success stems from our Lawyer's proactive engagement with the Chamber of Commerce (KVK) in Amsterdam, resulting in a 28% increase in compliance package uptake.</w:t>
      </w:r>
    </w:p>
    <w:bookmarkEnd w:id="23"/>
    <w:bookmarkStart w:id="24" w:name="international-commercial-disputes"/>
    <w:p>
      <w:pPr>
        <w:pStyle w:val="Heading3"/>
      </w:pPr>
      <w:r>
        <w:t xml:space="preserve">2. International Commercial Disputes</w:t>
      </w:r>
    </w:p>
    <w:p>
      <w:pPr>
        <w:pStyle w:val="FirstParagraph"/>
      </w:pPr>
      <w:r>
        <w:t xml:space="preserve">This service generated €5.7M in revenue during Q3, representing 49% of our total Netherlands Amsterdam sales. Our Lawyer secured key mandates from German and US firms expanding into Dutch markets by demonstrating mastery of the Amsterdam District Court's commercial procedures and arbitration frameworks under the Hague Convention.</w:t>
      </w:r>
    </w:p>
    <w:bookmarkEnd w:id="24"/>
    <w:bookmarkStart w:id="25" w:name="ip-technology-law-services"/>
    <w:p>
      <w:pPr>
        <w:pStyle w:val="Heading3"/>
      </w:pPr>
      <w:r>
        <w:t xml:space="preserve">3. IP &amp; Technology Law Services</w:t>
      </w:r>
    </w:p>
    <w:p>
      <w:pPr>
        <w:pStyle w:val="FirstParagraph"/>
      </w:pPr>
      <w:r>
        <w:t xml:space="preserve">With tech startups booming in Amsterdam Science Park, this division achieved 68% growth. The Lawyer's specialized knowledge of Dutch patent law and EU digital service regulations positioned us as the preferred partner for 12 new Fintech clients in Q3.</w:t>
      </w:r>
    </w:p>
    <w:bookmarkEnd w:id="25"/>
    <w:bookmarkEnd w:id="26"/>
    <w:bookmarkStart w:id="27" w:name="Xc7cc2862d7d744fadaa29cbbe5b209511a4d345"/>
    <w:p>
      <w:pPr>
        <w:pStyle w:val="Heading2"/>
      </w:pPr>
      <w:r>
        <w:t xml:space="preserve">Client Feedback Insights (Netherlands Amsterdam)</w:t>
      </w:r>
    </w:p>
    <w:p>
      <w:pPr>
        <w:pStyle w:val="FirstParagraph"/>
      </w:pPr>
      <w:r>
        <w:t xml:space="preserve">Our most recent client satisfaction survey reveals why our Lawyer services outperform competitors in Netherlands Amsterdam:</w:t>
      </w:r>
    </w:p>
    <w:p>
      <w:pPr>
        <w:numPr>
          <w:ilvl w:val="0"/>
          <w:numId w:val="1001"/>
        </w:numPr>
        <w:pStyle w:val="Compact"/>
      </w:pPr>
      <w:r>
        <w:t xml:space="preserve">"The Lawyer's understanding of local business customs prevented costly regulatory missteps during our expansion" – CEO, Dutch-Canadian Logistics Firm</w:t>
      </w:r>
    </w:p>
    <w:p>
      <w:pPr>
        <w:numPr>
          <w:ilvl w:val="0"/>
          <w:numId w:val="1001"/>
        </w:numPr>
        <w:pStyle w:val="Compact"/>
      </w:pPr>
      <w:r>
        <w:t xml:space="preserve">"Their real-time response to the new Dutch Anti-Money Laundering Act made them indispensable" – CLO, Amsterdam-based Investment Bank</w:t>
      </w:r>
    </w:p>
    <w:p>
      <w:pPr>
        <w:numPr>
          <w:ilvl w:val="0"/>
          <w:numId w:val="1001"/>
        </w:numPr>
        <w:pStyle w:val="Compact"/>
      </w:pPr>
      <w:r>
        <w:t xml:space="preserve">"No other firm in Netherlands Amsterdam combines EU legal expertise with on-the-ground Amsterdam market knowledge like this Lawyer" – Director, European Pharma Consortium</w:t>
      </w:r>
    </w:p>
    <w:bookmarkEnd w:id="27"/>
    <w:bookmarkStart w:id="28" w:name="X138b6c40948294e51816aabf41afed8d8d3600c"/>
    <w:p>
      <w:pPr>
        <w:pStyle w:val="Heading2"/>
      </w:pPr>
      <w:r>
        <w:t xml:space="preserve">Strategic Challenges &amp; Competitive Positioning</w:t>
      </w:r>
    </w:p>
    <w:p>
      <w:pPr>
        <w:pStyle w:val="FirstParagraph"/>
      </w:pPr>
      <w:r>
        <w:t xml:space="preserve">While the Sales Report confirms strong growth, we face specific challenges unique to Netherlands Amsterdam:</w:t>
      </w:r>
    </w:p>
    <w:p>
      <w:pPr>
        <w:numPr>
          <w:ilvl w:val="0"/>
          <w:numId w:val="1002"/>
        </w:numPr>
        <w:pStyle w:val="Compact"/>
      </w:pPr>
      <w:r>
        <w:rPr>
          <w:bCs/>
          <w:b/>
        </w:rPr>
        <w:t xml:space="preserve">Regulatory Complexity:</w:t>
      </w:r>
      <w:r>
        <w:t xml:space="preserve"> </w:t>
      </w:r>
      <w:r>
        <w:t xml:space="preserve">The Dutch government's 17 new business regulations in 2023 required rapid Lawyer adaptation. Our team responded by developing the "Amsterdam Compliance Navigator" tool, now used by 83% of clients.</w:t>
      </w:r>
    </w:p>
    <w:p>
      <w:pPr>
        <w:numPr>
          <w:ilvl w:val="0"/>
          <w:numId w:val="1002"/>
        </w:numPr>
        <w:pStyle w:val="Compact"/>
      </w:pPr>
      <w:r>
        <w:rPr>
          <w:bCs/>
          <w:b/>
        </w:rPr>
        <w:t xml:space="preserve">Talent Acquisition:</w:t>
      </w:r>
      <w:r>
        <w:t xml:space="preserve"> </w:t>
      </w:r>
      <w:r>
        <w:t xml:space="preserve">Competing for specialized Lawyer talent in Amsterdam has intensified. Our Sales Report shows we've reduced hiring time by 40% through partnerships with Leiden University's Law School.</w:t>
      </w:r>
    </w:p>
    <w:p>
      <w:pPr>
        <w:numPr>
          <w:ilvl w:val="0"/>
          <w:numId w:val="1002"/>
        </w:numPr>
        <w:pStyle w:val="Compact"/>
      </w:pPr>
      <w:r>
        <w:rPr>
          <w:bCs/>
          <w:b/>
        </w:rPr>
        <w:t xml:space="preserve">Client Expectations:</w:t>
      </w:r>
      <w:r>
        <w:t xml:space="preserve"> </w:t>
      </w:r>
      <w:r>
        <w:t xml:space="preserve">Netherlands Amsterdam clients now demand integrated solutions. Our successful pivot to offering bundled "Amsterdam Business Growth Packages" (combining legal, tax and HR services) increased average deal size by 27%.</w:t>
      </w:r>
    </w:p>
    <w:bookmarkEnd w:id="28"/>
    <w:bookmarkStart w:id="29" w:name="Xeabfe577258df33f66ebba06f85ff2259cfea3a"/>
    <w:p>
      <w:pPr>
        <w:pStyle w:val="Heading2"/>
      </w:pPr>
      <w:r>
        <w:t xml:space="preserve">Forward-Looking Strategy for Netherlands Amsterdam</w:t>
      </w:r>
    </w:p>
    <w:p>
      <w:pPr>
        <w:pStyle w:val="FirstParagraph"/>
      </w:pPr>
      <w:r>
        <w:t xml:space="preserve">This Sales Report concludes with our strategic roadmap for sustained growth in the Netherlands Amsterdam market:</w:t>
      </w:r>
    </w:p>
    <w:p>
      <w:pPr>
        <w:numPr>
          <w:ilvl w:val="0"/>
          <w:numId w:val="1003"/>
        </w:numPr>
        <w:pStyle w:val="Compact"/>
      </w:pPr>
      <w:r>
        <w:rPr>
          <w:bCs/>
          <w:b/>
        </w:rPr>
        <w:t xml:space="preserve">Amsterdam Legal Innovation Hub:</w:t>
      </w:r>
      <w:r>
        <w:t xml:space="preserve"> </w:t>
      </w:r>
      <w:r>
        <w:t xml:space="preserve">Launching a dedicated practice center at the Amsterdam Science Park to deepen Lawyer expertise in emerging sectors (AI governance, sustainable finance)</w:t>
      </w:r>
    </w:p>
    <w:p>
      <w:pPr>
        <w:numPr>
          <w:ilvl w:val="0"/>
          <w:numId w:val="1003"/>
        </w:numPr>
        <w:pStyle w:val="Compact"/>
      </w:pPr>
      <w:r>
        <w:rPr>
          <w:bCs/>
          <w:b/>
        </w:rPr>
        <w:t xml:space="preserve">Dutch Language Integration:</w:t>
      </w:r>
      <w:r>
        <w:t xml:space="preserve"> </w:t>
      </w:r>
      <w:r>
        <w:t xml:space="preserve">Implementing bilingual (Dutch/English) service protocols for all Netherlands Amsterdam clients by Q2 2024</w:t>
      </w:r>
    </w:p>
    <w:p>
      <w:pPr>
        <w:numPr>
          <w:ilvl w:val="0"/>
          <w:numId w:val="1003"/>
        </w:numPr>
        <w:pStyle w:val="Compact"/>
      </w:pPr>
      <w:r>
        <w:rPr>
          <w:bCs/>
          <w:b/>
        </w:rPr>
        <w:t xml:space="preserve">Community Engagement:</w:t>
      </w:r>
      <w:r>
        <w:t xml:space="preserve"> </w:t>
      </w:r>
      <w:r>
        <w:t xml:space="preserve">Partnering with the Amsterdam Bar Association to host quarterly "Legal Tech Roundtables" addressing Dutch regulatory challenges</w:t>
      </w:r>
    </w:p>
    <w:p>
      <w:pPr>
        <w:numPr>
          <w:ilvl w:val="0"/>
          <w:numId w:val="1003"/>
        </w:numPr>
        <w:pStyle w:val="Compact"/>
      </w:pPr>
      <w:r>
        <w:rPr>
          <w:bCs/>
          <w:b/>
        </w:rPr>
        <w:t xml:space="preserve">Sustainability Compliance Service:</w:t>
      </w:r>
      <w:r>
        <w:t xml:space="preserve"> </w:t>
      </w:r>
      <w:r>
        <w:t xml:space="preserve">Developing new offerings aligned with Netherlands' 2030 Climate Goals, targeting ESG-focused firms in Amsterdam</w:t>
      </w:r>
    </w:p>
    <w:bookmarkEnd w:id="29"/>
    <w:bookmarkStart w:id="30" w:name="X92c764c9195340d3d221a64c5075699842eae31"/>
    <w:p>
      <w:pPr>
        <w:pStyle w:val="Heading2"/>
      </w:pPr>
      <w:r>
        <w:t xml:space="preserve">Conclusion: The Lawyer as Strategic Asset in Netherlands Amsterdam</w:t>
      </w:r>
    </w:p>
    <w:p>
      <w:pPr>
        <w:pStyle w:val="FirstParagraph"/>
      </w:pPr>
      <w:r>
        <w:t xml:space="preserve">This Sales Report unequivocally demonstrates that our Lawyer services are the cornerstone of our success in the Netherlands Amsterdam market. The strategic integration of deep Dutch legal expertise with global business acumen has not only driven revenue growth but established us as an indispensable partner for enterprises operating within this critical European hub. As we look forward, we commit to doubling down on Amsterdam-specific solutions – because in the Netherlands' most dynamic legal marketplace, a Lawyer's local mastery is no longer optional; it's the competitive differentiator that defines success.</w:t>
      </w:r>
    </w:p>
    <w:p>
      <w:pPr>
        <w:pStyle w:val="BodyText"/>
      </w:pPr>
      <w:r>
        <w:rPr>
          <w:iCs/>
          <w:i/>
        </w:rPr>
        <w:t xml:space="preserve">Prepared by: Global Legal Sales Intelligence Unit</w:t>
      </w:r>
      <w:r>
        <w:br/>
      </w:r>
      <w:r>
        <w:rPr>
          <w:iCs/>
          <w:i/>
        </w:rPr>
        <w:t xml:space="preserve">Date: October 26, 2023</w:t>
      </w:r>
      <w:r>
        <w:br/>
      </w:r>
      <w:r>
        <w:rPr>
          <w:iCs/>
          <w:i/>
        </w:rPr>
        <w:t xml:space="preserve">Report Scope: Netherlands Amsterdam Legal Practice Performance Analysis (Q1-Q3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Sales Performance Report: Netherlands Amsterdam</dc:title>
  <dc:creator/>
  <dc:language>en</dc:language>
  <cp:keywords/>
  <dcterms:created xsi:type="dcterms:W3CDTF">2026-07-23T17:19:43Z</dcterms:created>
  <dcterms:modified xsi:type="dcterms:W3CDTF">2026-07-23T17:19:43Z</dcterms:modified>
</cp:coreProperties>
</file>

<file path=docProps/custom.xml><?xml version="1.0" encoding="utf-8"?>
<Properties xmlns="http://schemas.openxmlformats.org/officeDocument/2006/custom-properties" xmlns:vt="http://schemas.openxmlformats.org/officeDocument/2006/docPropsVTypes"/>
</file>