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Legal</w:t>
      </w:r>
      <w:r>
        <w:t xml:space="preserve"> </w:t>
      </w:r>
      <w:r>
        <w:t xml:space="preserve">Practice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Auckland</w:t>
      </w:r>
      <w:r>
        <w:t xml:space="preserve"> </w:t>
      </w:r>
      <w:r>
        <w:t xml:space="preserve">Market</w:t>
      </w:r>
    </w:p>
    <w:bookmarkStart w:id="27" w:name="X132af050ff846b68d38fa90bc5fff366b65aad8"/>
    <w:p>
      <w:pPr>
        <w:pStyle w:val="Heading1"/>
      </w:pPr>
      <w:r>
        <w:t xml:space="preserve">Legal Practice Performance Report: Service Acquisition &amp; Client Engagement in New Zealand Auckland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Auckland Legal Practice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–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service acquisition and client engagement performance of our Auckland-based legal practice during Q3 2023. As a leading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provider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, we focus not on transactional "sales" but on strategic client partnerships built through expertise, trust, and outcome-driven service delivery. This quarter demonstrated strong growth in new client acquisition (18% above target) and elevated retention rates (92%), driven by our tailored approach to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unique legal landscape. The practice has solidified its position as a trusted advisor for both individuals and businesses navigating complex local regulations.</w:t>
      </w:r>
    </w:p>
    <w:bookmarkEnd w:id="20"/>
    <w:bookmarkStart w:id="22" w:name="X08ec87afc415ab46670c9a38bbdf058012f5296"/>
    <w:p>
      <w:pPr>
        <w:pStyle w:val="Heading2"/>
      </w:pPr>
      <w:r>
        <w:t xml:space="preserve">II. Key Performance Indicators: Service Acquisition &amp; Client Growth</w:t>
      </w:r>
    </w:p>
    <w:p>
      <w:pPr>
        <w:pStyle w:val="FirstParagraph"/>
      </w:pPr>
      <w:r>
        <w:t xml:space="preserve">The following table summarizes critical metrics reflecting our performance in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 (Q3)</w:t>
      </w:r>
    </w:p>
    <w:p>
      <w:pPr>
        <w:pStyle w:val="BodyText"/>
      </w:pPr>
      <w:r>
        <w:t xml:space="preserve">Actual (Q3)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New Client Acquisitions</w:t>
      </w:r>
    </w:p>
    <w:p>
      <w:pPr>
        <w:pStyle w:val="BodyText"/>
      </w:pPr>
      <w:r>
        <w:t xml:space="preserve">42</w:t>
      </w:r>
    </w:p>
    <w:p>
      <w:pPr>
        <w:pStyle w:val="BodyText"/>
      </w:pPr>
      <w:r>
        <w:t xml:space="preserve">50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Client Retention Rate (Existing Clients)</w:t>
      </w:r>
    </w:p>
    <w:p>
      <w:pPr>
        <w:pStyle w:val="BodyText"/>
      </w:pPr>
      <w:r>
        <w:t xml:space="preserve">85%92%+7%</w:t>
      </w:r>
    </w:p>
    <w:p>
      <w:pPr>
        <w:pStyle w:val="BodyText"/>
      </w:pPr>
      <w:r>
        <w:t xml:space="preserve">Service Revenue Growth (vs Q2)</w:t>
      </w:r>
    </w:p>
    <w:p>
      <w:pPr>
        <w:pStyle w:val="BodyText"/>
      </w:pPr>
      <w:r>
        <w:t xml:space="preserve">$185,000 → $215,000 (+16.2%)</w:t>
      </w:r>
    </w:p>
    <w:bookmarkStart w:id="21" w:name="Xc77116ce04ce5115755fe68ec6ff179a23c7792"/>
    <w:p>
      <w:pPr>
        <w:pStyle w:val="Heading3"/>
      </w:pPr>
      <w:r>
        <w:t xml:space="preserve">Analysis of Client Acquisition Channels in Auckland: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Referrals (48% of New Clients):</w:t>
      </w:r>
      <w:r>
        <w:t xml:space="preserve"> </w:t>
      </w:r>
      <w:r>
        <w:t xml:space="preserve">Strong organic growth from corporate partners (e.g., Auckland-based property developers, accountants) and past clients. The practice's reputation for handling complex</w:t>
      </w:r>
      <w:r>
        <w:t xml:space="preserve"> </w:t>
      </w:r>
      <w:r>
        <w:rPr>
          <w:bCs/>
          <w:b/>
        </w:rPr>
        <w:t xml:space="preserve">New Zealand</w:t>
      </w:r>
      <w:r>
        <w:t xml:space="preserve"> </w:t>
      </w:r>
      <w:r>
        <w:t xml:space="preserve">property disputes and business litigation directly drove these referrals.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Online Inquiries (32%):</w:t>
      </w:r>
      <w:r>
        <w:t xml:space="preserve"> </w:t>
      </w:r>
      <w:r>
        <w:t xml:space="preserve">A 27% increase in qualified leads from our updated website, which features Auckland-specific legal guides (e.g., "Resolving Tenancy Disputes in Auckland Council Zones"). This aligns with rising digital engagement among Auckland residents seeking transparent legal advice.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 (18%):</w:t>
      </w:r>
      <w:r>
        <w:t xml:space="preserve"> </w:t>
      </w:r>
      <w:r>
        <w:t xml:space="preserve">Participation in the Auckland Chamber of Commerce's quarterly "Legal Wellness" workshops significantly boosted visibility and trust within the local business community.</w:t>
      </w:r>
    </w:p>
    <w:bookmarkEnd w:id="21"/>
    <w:bookmarkEnd w:id="22"/>
    <w:bookmarkStart w:id="23" w:name="Xbea0597dcdb443d525d51cd0ec8030e287d3fa7"/>
    <w:p>
      <w:pPr>
        <w:pStyle w:val="Heading2"/>
      </w:pPr>
      <w:r>
        <w:t xml:space="preserve">III. Market Context: Why Auckland Demands Specialized Legal Expertise</w:t>
      </w:r>
    </w:p>
    <w:p>
      <w:pPr>
        <w:pStyle w:val="FirstParagraph"/>
      </w:pPr>
      <w:r>
        <w:rPr>
          <w:bCs/>
          <w:b/>
        </w:rPr>
        <w:t xml:space="preserve">New Zealand Auckland</w:t>
      </w:r>
      <w:r>
        <w:t xml:space="preserve">'s rapid urbanization (population growth of 1.8% annually) creates distinct legal pressures that our practice addresses proactively. Key trends influencing our</w:t>
      </w:r>
      <w:r>
        <w:t xml:space="preserve"> </w:t>
      </w:r>
      <w:r>
        <w:rPr>
          <w:bCs/>
          <w:b/>
        </w:rPr>
        <w:t xml:space="preserve">Lawyer</w:t>
      </w:r>
      <w:r>
        <w:t xml:space="preserve">'s service model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Auckland Housing Market Volatility:</w:t>
      </w:r>
      <w:r>
        <w:t xml:space="preserve"> </w:t>
      </w:r>
      <w:r>
        <w:t xml:space="preserve">A 22% year-on-year increase in residential property disputes directly impacted demand for conveyancing and dispute resolution services. Our team handled 17 high-value Auckland property transfers this quarter, all completed within strict council timelines.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Commercial Compliance Demands:</w:t>
      </w:r>
      <w:r>
        <w:t xml:space="preserve"> </w:t>
      </w:r>
      <w:r>
        <w:t xml:space="preserve">Businesses navigating new Environmental Protection Act requirements (effective July 2023) sought advisory services. We secured 8 new commercial clients in this sector, emphasizing our ability to translate complex</w:t>
      </w:r>
      <w:r>
        <w:t xml:space="preserve"> </w:t>
      </w:r>
      <w:r>
        <w:rPr>
          <w:bCs/>
          <w:b/>
        </w:rPr>
        <w:t xml:space="preserve">New Zealand</w:t>
      </w:r>
      <w:r>
        <w:t xml:space="preserve"> </w:t>
      </w:r>
      <w:r>
        <w:t xml:space="preserve">regulations into actionable strategies for Auckland businesses.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Transformation:</w:t>
      </w:r>
      <w:r>
        <w:t xml:space="preserve"> </w:t>
      </w:r>
      <w:r>
        <w:t xml:space="preserve">Rising use of e-signatures and online dispute resolution platforms (as per NZ's Legal Services Modernisation Bill) required us to enhance client portals. This led to a 35% reduction in document processing time, directly improving client satisfaction scores.</w:t>
      </w:r>
    </w:p>
    <w:bookmarkEnd w:id="23"/>
    <w:bookmarkStart w:id="24" w:name="iv.-client-outcome-success-metrics"/>
    <w:p>
      <w:pPr>
        <w:pStyle w:val="Heading2"/>
      </w:pPr>
      <w:r>
        <w:t xml:space="preserve">IV. Client Outcome Success Metrics</w:t>
      </w:r>
    </w:p>
    <w:p>
      <w:pPr>
        <w:pStyle w:val="FirstParagraph"/>
      </w:pPr>
      <w:r>
        <w:t xml:space="preserve">Unlike traditional sales metrics, our success is measured by case outcomes and client trust—critical for a reputable</w:t>
      </w:r>
      <w:r>
        <w:t xml:space="preserve"> </w:t>
      </w:r>
      <w:r>
        <w:rPr>
          <w:bCs/>
          <w:b/>
        </w:rPr>
        <w:t xml:space="preserve">Lawyer</w:t>
      </w:r>
      <w:r>
        <w:t xml:space="preserve">. Q3 results show: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Civil Case Resolution Rate (Auckland):</w:t>
      </w:r>
      <w:r>
        <w:t xml:space="preserve"> </w:t>
      </w:r>
      <w:r>
        <w:t xml:space="preserve">89% of active cases resolved favorably or through settlement within agreed timelines, exceeding the industry benchmark of 82%.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Client Satisfaction Score (CSAT):</w:t>
      </w:r>
      <w:r>
        <w:t xml:space="preserve"> </w:t>
      </w:r>
      <w:r>
        <w:t xml:space="preserve">4.7/5.0 across all Auckland clients, with frequent comments highlighting "clarity in explaining Auckland-specific legal pathways" and "proactive communication during complex processes."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Ethical Compliance:</w:t>
      </w:r>
      <w:r>
        <w:t xml:space="preserve"> </w:t>
      </w:r>
      <w:r>
        <w:t xml:space="preserve">Zero disciplinary actions or client complaints related to service delivery—a non-negotiable standard for our practice under the</w:t>
      </w:r>
      <w:r>
        <w:t xml:space="preserve"> </w:t>
      </w:r>
      <w:r>
        <w:rPr>
          <w:bCs/>
          <w:b/>
        </w:rPr>
        <w:t xml:space="preserve">New Zealand</w:t>
      </w:r>
      <w:r>
        <w:t xml:space="preserve"> </w:t>
      </w:r>
      <w:r>
        <w:t xml:space="preserve">Solicitors Disciplinary Tribunal guidelines.</w:t>
      </w:r>
    </w:p>
    <w:bookmarkEnd w:id="24"/>
    <w:bookmarkStart w:id="25" w:name="v.-strategic-recommendations-for-q4-2023"/>
    <w:p>
      <w:pPr>
        <w:pStyle w:val="Heading2"/>
      </w:pPr>
      <w:r>
        <w:t xml:space="preserve">V. Strategic Recommendations for Q4 2023</w:t>
      </w:r>
    </w:p>
    <w:p>
      <w:pPr>
        <w:pStyle w:val="FirstParagraph"/>
      </w:pPr>
      <w:r>
        <w:t xml:space="preserve">Building on Q3 momentum, we recommend the following initiatives to sustain growth in the competitive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Expand Community Partnerships:</w:t>
      </w:r>
      <w:r>
        <w:t xml:space="preserve"> </w:t>
      </w:r>
      <w:r>
        <w:t xml:space="preserve">Formalize relationships with Auckland's 10 largest property management firms to co-host quarterly workshops on "Navigating Auckland Rental Legislation Updates."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Enhancement:</w:t>
      </w:r>
      <w:r>
        <w:t xml:space="preserve"> </w:t>
      </w:r>
      <w:r>
        <w:t xml:space="preserve">Launch an AI-powered case-tracking tool tailored for Auckland court scheduling (e.g., integrating with High Court of New Zealand systems), reducing client wait times by 25%.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Niche Market Focus:</w:t>
      </w:r>
      <w:r>
        <w:t xml:space="preserve"> </w:t>
      </w:r>
      <w:r>
        <w:t xml:space="preserve">Develop a dedicated "Auckland Business Compliance Package" addressing emerging regulations in the hospitality and construction sectors—areas with high demand due to Auckland's development boom.</w:t>
      </w:r>
    </w:p>
    <w:bookmarkEnd w:id="25"/>
    <w:bookmarkStart w:id="26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quarter reaffirmed that successful legal practice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hinges on deep local expertise, ethical service delivery, and responsive client partnerships—not transactional sales tactics. The 18% growth in new clients and 92% retention rate demonstrate that our approach resonates with Auckland's community of individuals and businesses seeking reliable legal counsel. As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operating within the strict ethical frameworks of</w:t>
      </w:r>
      <w:r>
        <w:t xml:space="preserve"> </w:t>
      </w:r>
      <w:r>
        <w:rPr>
          <w:bCs/>
          <w:b/>
        </w:rPr>
        <w:t xml:space="preserve">New Zealand</w:t>
      </w:r>
      <w:r>
        <w:t xml:space="preserve">, we remain committed to delivering outcomes that exceed expectations while strengthening our position as Auckland's most trusted legal advisory partner.</w:t>
      </w:r>
    </w:p>
    <w:p>
      <w:pPr>
        <w:pStyle w:val="BodyText"/>
      </w:pPr>
      <w:r>
        <w:t xml:space="preserve">Prepared in accordance with New Zealand Legal Profession Standards. All data reflects internal practice metrics for Auckland operations. Confidential.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Practice Performance Report: Auckland Market</dc:title>
  <dc:creator/>
  <dc:language>en</dc:language>
  <cp:keywords/>
  <dcterms:created xsi:type="dcterms:W3CDTF">2026-07-24T21:52:31Z</dcterms:created>
  <dcterms:modified xsi:type="dcterms:W3CDTF">2026-07-24T21:52:31Z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