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Legal</w:t>
      </w:r>
      <w:r>
        <w:t xml:space="preserve"> </w:t>
      </w:r>
      <w:r>
        <w:t xml:space="preserve">Sales</w:t>
      </w:r>
      <w:r>
        <w:t xml:space="preserve"> </w:t>
      </w:r>
      <w:r>
        <w:t xml:space="preserve">Performance</w:t>
      </w:r>
      <w:r>
        <w:t xml:space="preserve"> </w:t>
      </w:r>
      <w:r>
        <w:t xml:space="preserve">Report</w:t>
      </w:r>
    </w:p>
    <w:bookmarkStart w:id="30" w:name="X978746cf231311de25fee59c5f5d34b6a5a20d6"/>
    <w:p>
      <w:pPr>
        <w:pStyle w:val="Heading1"/>
      </w:pPr>
      <w:r>
        <w:t xml:space="preserve">Qatar Doha Legal Services Sales Performance Report</w:t>
      </w:r>
    </w:p>
    <w:p>
      <w:pPr>
        <w:pStyle w:val="FirstParagraph"/>
      </w:pPr>
      <w:r>
        <w:rPr>
          <w:bCs/>
          <w:b/>
        </w:rPr>
        <w:t xml:space="preserve">Prepared For:</w:t>
      </w:r>
      <w:r>
        <w:t xml:space="preserve"> </w:t>
      </w:r>
      <w:r>
        <w:t xml:space="preserve">Executive Leadership, Qatar Legal Consortium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legal services across Qatar Doha markets during Q3 2023. The report underscores significant growth in demand for specialized legal expertise, particularly from multinational corporations and high-net-worth individuals navigating Qatar's evolving regulatory landscape. As a premier</w:t>
      </w:r>
      <w:r>
        <w:t xml:space="preserve"> </w:t>
      </w:r>
      <w:r>
        <w:rPr>
          <w:bCs/>
          <w:b/>
        </w:rPr>
        <w:t xml:space="preserve">Lawyer</w:t>
      </w:r>
      <w:r>
        <w:t xml:space="preserve"> </w:t>
      </w:r>
      <w:r>
        <w:t xml:space="preserve">service provider operating within Qatar Doha, our firm has achieved a 24% year-over-year increase in contract value, validating strategic investments in sector-specific legal solutions. This Sales Report serves as critical documentation for our continued market leadership positioning within the Qatari legal ecosystem.</w:t>
      </w:r>
    </w:p>
    <w:bookmarkEnd w:id="20"/>
    <w:bookmarkStart w:id="22" w:name="market-performance-highlights"/>
    <w:p>
      <w:pPr>
        <w:pStyle w:val="Heading2"/>
      </w:pPr>
      <w:r>
        <w:t xml:space="preserve">Market Performance Highlights</w:t>
      </w:r>
    </w:p>
    <w:p>
      <w:pPr>
        <w:pStyle w:val="FirstParagraph"/>
      </w:pPr>
      <w:r>
        <w:t xml:space="preserve">The Qatar Doha legal market demonstrated robust expansion during Q3, with a 31% surge in complex commercial litigation and corporate advisory mandates. Our firm captured 18% of the total high-value legal services market in Qatar Doha – a 5-point increase from Q2. Notable achievements include:</w:t>
      </w:r>
    </w:p>
    <w:p>
      <w:pPr>
        <w:numPr>
          <w:ilvl w:val="0"/>
          <w:numId w:val="1001"/>
        </w:numPr>
        <w:pStyle w:val="Compact"/>
      </w:pPr>
      <w:r>
        <w:t xml:space="preserve">Securing three major contracts with Fortune 500 firms for M&amp;A due diligence and compliance services</w:t>
      </w:r>
    </w:p>
    <w:p>
      <w:pPr>
        <w:numPr>
          <w:ilvl w:val="0"/>
          <w:numId w:val="1001"/>
        </w:numPr>
        <w:pStyle w:val="Compact"/>
      </w:pPr>
      <w:r>
        <w:t xml:space="preserve">Closing a landmark $14.7M construction dispute resolution case for a leading Qatar-based developer</w:t>
      </w:r>
    </w:p>
    <w:p>
      <w:pPr>
        <w:numPr>
          <w:ilvl w:val="0"/>
          <w:numId w:val="1001"/>
        </w:numPr>
        <w:pStyle w:val="Compact"/>
      </w:pPr>
      <w:r>
        <w:t xml:space="preserve">Onboarding 12 new corporate clients through strategic partnerships with Doha Chamber of Commerce entities</w:t>
      </w:r>
    </w:p>
    <w:bookmarkStart w:id="21" w:name="key-sales-metrics-q3-2023"/>
    <w:p>
      <w:pPr>
        <w:pStyle w:val="Heading3"/>
      </w:pPr>
      <w:r>
        <w:t xml:space="preserve">Key Sales Metrics (Q3 2023)</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Contract Value (QAR)</w:t>
      </w:r>
    </w:p>
    <w:p>
      <w:pPr>
        <w:pStyle w:val="BodyText"/>
      </w:pPr>
      <w:r>
        <w:t xml:space="preserve">18,450,000</w:t>
      </w:r>
    </w:p>
    <w:p>
      <w:pPr>
        <w:pStyle w:val="BodyText"/>
      </w:pPr>
      <w:r>
        <w:t xml:space="preserve">14,875,000</w:t>
      </w:r>
    </w:p>
    <w:p>
      <w:pPr>
        <w:pStyle w:val="BodyText"/>
      </w:pPr>
      <w:r>
        <w:t xml:space="preserve">24.1%</w:t>
      </w:r>
    </w:p>
    <w:p>
      <w:pPr>
        <w:pStyle w:val="BodyText"/>
      </w:pPr>
      <w:r>
        <w:t xml:space="preserve">New Client Acquisition Rate</w:t>
      </w:r>
    </w:p>
    <w:p>
      <w:pPr>
        <w:pStyle w:val="BodyText"/>
      </w:pPr>
      <w:r>
        <w:t xml:space="preserve">32</w:t>
      </w:r>
    </w:p>
    <w:p>
      <w:pPr>
        <w:pStyle w:val="BodyText"/>
      </w:pPr>
      <w:r>
        <w:t xml:space="preserve">26</w:t>
      </w:r>
    </w:p>
    <w:p>
      <w:pPr>
        <w:pStyle w:val="BodyText"/>
      </w:pPr>
      <w:r>
        <w:t xml:space="preserve">23.1%</w:t>
      </w:r>
    </w:p>
    <w:p>
      <w:pPr>
        <w:pStyle w:val="BodyText"/>
      </w:pPr>
      <w:r>
        <w:t xml:space="preserve">Cross-Sell Ratio (Existing Clients)</w:t>
      </w:r>
    </w:p>
    <w:p>
      <w:pPr>
        <w:pStyle w:val="BodyText"/>
      </w:pPr>
      <w:r>
        <w:t xml:space="preserve">&lt;</w:t>
      </w:r>
    </w:p>
    <w:p>
      <w:pPr>
        <w:pStyle w:val="BodyText"/>
      </w:pPr>
      <w:r>
        <w:t xml:space="preserve">47%</w:t>
      </w:r>
    </w:p>
    <w:p>
      <w:pPr>
        <w:pStyle w:val="BodyText"/>
      </w:pPr>
      <w:r>
        <w:t xml:space="preserve">&lt;</w:t>
      </w:r>
    </w:p>
    <w:p>
      <w:pPr>
        <w:pStyle w:val="BodyText"/>
      </w:pPr>
      <w:r>
        <w:t xml:space="preserve">39%</w:t>
      </w:r>
    </w:p>
    <w:p>
      <w:pPr>
        <w:pStyle w:val="BodyText"/>
      </w:pPr>
      <w:r>
        <w:t xml:space="preserve">Client Retention Rate</w:t>
      </w:r>
    </w:p>
    <w:p>
      <w:pPr>
        <w:pStyle w:val="BodyText"/>
      </w:pPr>
      <w:r>
        <w:t xml:space="preserve">88%</w:t>
      </w:r>
    </w:p>
    <w:p>
      <w:pPr>
        <w:pStyle w:val="BodyText"/>
      </w:pPr>
      <w:r>
        <w:t xml:space="preserve">&lt;</w:t>
      </w:r>
    </w:p>
    <w:p>
      <w:pPr>
        <w:pStyle w:val="BodyText"/>
      </w:pPr>
      <w:r>
        <w:t xml:space="preserve">82%</w:t>
      </w:r>
    </w:p>
    <w:bookmarkEnd w:id="21"/>
    <w:bookmarkEnd w:id="22"/>
    <w:bookmarkStart w:id="26" w:name="qatar-doha-market-analysis"/>
    <w:p>
      <w:pPr>
        <w:pStyle w:val="Heading2"/>
      </w:pPr>
      <w:r>
        <w:t xml:space="preserve">Qatar Doha Market Analysis</w:t>
      </w:r>
    </w:p>
    <w:p>
      <w:pPr>
        <w:pStyle w:val="FirstParagraph"/>
      </w:pPr>
      <w:r>
        <w:t xml:space="preserve">The Qatari legal sector is experiencing transformative growth driven by the National Vision 2030 initiatives, increased foreign investment in energy and real estate sectors, and regulatory reforms under Qatar Financial Centre (QFC). This environment creates unprecedented opportunities for an experienced</w:t>
      </w:r>
      <w:r>
        <w:t xml:space="preserve"> </w:t>
      </w:r>
      <w:r>
        <w:rPr>
          <w:bCs/>
          <w:b/>
        </w:rPr>
        <w:t xml:space="preserve">Lawyer</w:t>
      </w:r>
      <w:r>
        <w:t xml:space="preserve"> </w:t>
      </w:r>
      <w:r>
        <w:t xml:space="preserve">to deliver specialized services. Our Sales Report identifies three critical market trends shaping demand:</w:t>
      </w:r>
    </w:p>
    <w:bookmarkStart w:id="23" w:name="regulatory-complexity-surge"/>
    <w:p>
      <w:pPr>
        <w:pStyle w:val="Heading3"/>
      </w:pPr>
      <w:r>
        <w:t xml:space="preserve">1. Regulatory Complexity Surge</w:t>
      </w:r>
    </w:p>
    <w:p>
      <w:pPr>
        <w:pStyle w:val="FirstParagraph"/>
      </w:pPr>
      <w:r>
        <w:t xml:space="preserve">The introduction of Qatar's 2023 Commercial Companies Law and revised labor regulations has generated 67% more compliance advisory requests. A dedicated</w:t>
      </w:r>
      <w:r>
        <w:t xml:space="preserve"> </w:t>
      </w:r>
      <w:r>
        <w:rPr>
          <w:bCs/>
          <w:b/>
        </w:rPr>
        <w:t xml:space="preserve">Lawyer</w:t>
      </w:r>
      <w:r>
        <w:t xml:space="preserve"> </w:t>
      </w:r>
      <w:r>
        <w:t xml:space="preserve">with Qatari legal certification now commands 40% premium pricing for navigating these complexities within Qatar Doha jurisdiction.</w:t>
      </w:r>
    </w:p>
    <w:bookmarkEnd w:id="23"/>
    <w:bookmarkStart w:id="24" w:name="esg-compliance-demand"/>
    <w:p>
      <w:pPr>
        <w:pStyle w:val="Heading3"/>
      </w:pPr>
      <w:r>
        <w:t xml:space="preserve">2. ESG Compliance Demand</w:t>
      </w:r>
    </w:p>
    <w:p>
      <w:pPr>
        <w:pStyle w:val="FirstParagraph"/>
      </w:pPr>
      <w:r>
        <w:t xml:space="preserve">Corporate sustainability requirements under Qatar's Green Growth Strategy have created a new $8.2M market segment. Our firm successfully closed three ESG compliance contracts this quarter, demonstrating how specialized legal expertise directly drives sales in Qatar Doha's emerging sectors.</w:t>
      </w:r>
    </w:p>
    <w:bookmarkEnd w:id="24"/>
    <w:bookmarkStart w:id="25" w:name="cross-border-transaction-growth"/>
    <w:p>
      <w:pPr>
        <w:pStyle w:val="Heading3"/>
      </w:pPr>
      <w:r>
        <w:t xml:space="preserve">3. Cross-Border Transaction Growth</w:t>
      </w:r>
    </w:p>
    <w:p>
      <w:pPr>
        <w:pStyle w:val="FirstParagraph"/>
      </w:pPr>
      <w:r>
        <w:t xml:space="preserve">Qatar's status as a regional financial hub has increased international arbitration requests by 52%. The Sales Report confirms that clients specifically seek lawyers with dual qualification in Qatari law and international frameworks – a key differentiator for our Doha-based practice.</w:t>
      </w:r>
    </w:p>
    <w:bookmarkEnd w:id="25"/>
    <w:bookmarkEnd w:id="26"/>
    <w:bookmarkStart w:id="27" w:name="Xc7014b54dbbf7f8d1052002323bbf7ca4b6b567"/>
    <w:p>
      <w:pPr>
        <w:pStyle w:val="Heading2"/>
      </w:pPr>
      <w:r>
        <w:t xml:space="preserve">Strategic Recommendations from Sales Performance</w:t>
      </w:r>
    </w:p>
    <w:p>
      <w:pPr>
        <w:pStyle w:val="FirstParagraph"/>
      </w:pPr>
      <w:r>
        <w:t xml:space="preserve">Based on this Q3 Sales Report analysis, we recommend three strategic priorities to maintain momentum in Qatar Doha:</w:t>
      </w:r>
    </w:p>
    <w:p>
      <w:pPr>
        <w:numPr>
          <w:ilvl w:val="0"/>
          <w:numId w:val="1002"/>
        </w:numPr>
        <w:pStyle w:val="Compact"/>
      </w:pPr>
      <w:r>
        <w:rPr>
          <w:bCs/>
          <w:b/>
        </w:rPr>
        <w:t xml:space="preserve">Specialized Practice Expansion:</w:t>
      </w:r>
      <w:r>
        <w:t xml:space="preserve"> </w:t>
      </w:r>
      <w:r>
        <w:t xml:space="preserve">Launch dedicated ESG and energy transition legal teams by Q1 2024. This aligns with the 35% YoY growth in green infrastructure projects across Qatar Doha.</w:t>
      </w:r>
    </w:p>
    <w:p>
      <w:pPr>
        <w:numPr>
          <w:ilvl w:val="0"/>
          <w:numId w:val="1002"/>
        </w:numPr>
        <w:pStyle w:val="Compact"/>
      </w:pPr>
      <w:r>
        <w:rPr>
          <w:bCs/>
          <w:b/>
        </w:rPr>
        <w:t xml:space="preserve">Digital Service Integration:</w:t>
      </w:r>
      <w:r>
        <w:t xml:space="preserve"> </w:t>
      </w:r>
      <w:r>
        <w:t xml:space="preserve">Implement AI-powered contract analysis tools for faster delivery of legal services to corporate clients – a feature requested by 78% of new prospects during Q3 sales cycles.</w:t>
      </w:r>
    </w:p>
    <w:p>
      <w:pPr>
        <w:numPr>
          <w:ilvl w:val="0"/>
          <w:numId w:val="1002"/>
        </w:numPr>
        <w:pStyle w:val="Compact"/>
      </w:pPr>
      <w:r>
        <w:rPr>
          <w:bCs/>
          <w:b/>
        </w:rPr>
        <w:t xml:space="preserve">Qatar Doha Community Engagement:</w:t>
      </w:r>
      <w:r>
        <w:t xml:space="preserve"> </w:t>
      </w:r>
      <w:r>
        <w:t xml:space="preserve">Establish formal partnerships with Qatar University Law School and the Supreme Council of Financial Information to develop talent pipelines and enhance local market presence.</w:t>
      </w:r>
    </w:p>
    <w:bookmarkEnd w:id="27"/>
    <w:bookmarkStart w:id="28" w:name="X93a91b081549abdeefe5761901787aa88828eb5"/>
    <w:p>
      <w:pPr>
        <w:pStyle w:val="Heading2"/>
      </w:pPr>
      <w:r>
        <w:t xml:space="preserve">Client Success Story: Major Construction Firm Resolution</w:t>
      </w:r>
    </w:p>
    <w:p>
      <w:pPr>
        <w:pStyle w:val="FirstParagraph"/>
      </w:pPr>
      <w:r>
        <w:t xml:space="preserve">A prime example of our</w:t>
      </w:r>
      <w:r>
        <w:t xml:space="preserve"> </w:t>
      </w:r>
      <w:r>
        <w:rPr>
          <w:bCs/>
          <w:b/>
        </w:rPr>
        <w:t xml:space="preserve">Lawyer</w:t>
      </w:r>
      <w:r>
        <w:t xml:space="preserve">'s strategic value emerged in the resolution of a $14.7M dispute involving a Doha-based construction consortium. When faced with complex contractual disagreements during the Lusail City infrastructure project, our team's deep understanding of Qatar Doha's engineering law framework enabled rapid settlement – saving the client 38% in potential litigation costs. This case directly contributed to a $2.4M upsell on ongoing regulatory compliance services, demonstrating how specialized legal expertise drives revenue growth within Qatar Doha's competitive market.</w:t>
      </w:r>
    </w:p>
    <w:bookmarkEnd w:id="28"/>
    <w:bookmarkStart w:id="29" w:name="conclusion"/>
    <w:p>
      <w:pPr>
        <w:pStyle w:val="Heading2"/>
      </w:pPr>
      <w:r>
        <w:t xml:space="preserve">Conclusion</w:t>
      </w:r>
    </w:p>
    <w:p>
      <w:pPr>
        <w:pStyle w:val="FirstParagraph"/>
      </w:pPr>
      <w:r>
        <w:t xml:space="preserve">This Sales Report confirms that our firm's strategic focus on Qatar-specific legal expertise is yielding exceptional results. The 24% year-over-year revenue growth in Qatar Doha – outperforming regional market averages by 8.7 percentage points – validates our positioning as the preferred legal partner for businesses operating within Qatari jurisdiction. As we continue to refine our service delivery model, the consistent demand for a specialized</w:t>
      </w:r>
      <w:r>
        <w:t xml:space="preserve"> </w:t>
      </w:r>
      <w:r>
        <w:rPr>
          <w:bCs/>
          <w:b/>
        </w:rPr>
        <w:t xml:space="preserve">Lawyer</w:t>
      </w:r>
      <w:r>
        <w:t xml:space="preserve"> </w:t>
      </w:r>
      <w:r>
        <w:t xml:space="preserve">with deep Qatar Doha regulatory knowledge will remain central to our sales strategy.</w:t>
      </w:r>
    </w:p>
    <w:p>
      <w:pPr>
        <w:pStyle w:val="BodyText"/>
      </w:pPr>
      <w:r>
        <w:t xml:space="preserve">In conclusion, this comprehensive Sales Report underscores that success in the Qatar Doha legal market requires more than standard legal services. It demands a nuanced understanding of local business culture, regulatory evolution, and client-specific challenges. Our firm has established itself as the benchmark for this specialized approach – making us uniquely positioned to capture future growth opportunities across all sectors of Qatar's dynamic economy. Moving forward, we will prioritize deepening our Qatar Doha market intelligence capabilities to maintain our leadership in legal services sales performance.</w:t>
      </w:r>
    </w:p>
    <w:p>
      <w:pPr>
        <w:pStyle w:val="BodyText"/>
      </w:pPr>
      <w:r>
        <w:rPr>
          <w:bCs/>
          <w:b/>
        </w:rPr>
        <w:t xml:space="preserve">Key Takeaway:</w:t>
      </w:r>
      <w:r>
        <w:t xml:space="preserve"> </w:t>
      </w:r>
      <w:r>
        <w:t xml:space="preserve">In Qatar Doha's legal services market, specialized knowledge combined with strategic sales execution delivers measurable competitive advantage – as evidenced by our Q3 growth metrics and client acquisition rates documented in this Sales Report.</w:t>
      </w:r>
    </w:p>
    <w:p>
      <w:pPr>
        <w:pStyle w:val="BodyText"/>
      </w:pPr>
      <w:r>
        <w:t xml:space="preserve">"In the complex landscape of Qatar Doha business, having a trusted lawyer is not an expense – it's the strategic investment that unlocks market opportunity."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Legal Sales Performance Report</dc:title>
  <dc:creator/>
  <dc:language>en</dc:language>
  <cp:keywords/>
  <dcterms:created xsi:type="dcterms:W3CDTF">2026-07-21T09:50:41Z</dcterms:created>
  <dcterms:modified xsi:type="dcterms:W3CDTF">2026-07-21T09:50:41Z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