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Legal</w:t>
      </w:r>
      <w:r>
        <w:t xml:space="preserve"> </w:t>
      </w:r>
      <w:r>
        <w:t xml:space="preserve">Services</w:t>
      </w:r>
      <w:r>
        <w:t xml:space="preserve"> </w:t>
      </w:r>
      <w:r>
        <w:t xml:space="preserve">Sales</w:t>
      </w:r>
      <w:r>
        <w:t xml:space="preserve"> </w:t>
      </w:r>
      <w:r>
        <w:t xml:space="preserve">Report:</w:t>
      </w:r>
      <w:r>
        <w:t xml:space="preserve"> </w:t>
      </w:r>
      <w:r>
        <w:t xml:space="preserve">Moscow</w:t>
      </w:r>
      <w:r>
        <w:t xml:space="preserve"> </w:t>
      </w:r>
      <w:r>
        <w:t xml:space="preserve">Market</w:t>
      </w:r>
    </w:p>
    <w:bookmarkStart w:id="30" w:name="X914578da261e5ebe8503ed77d20667086a3405b"/>
    <w:p>
      <w:pPr>
        <w:pStyle w:val="Heading1"/>
      </w:pPr>
      <w:r>
        <w:t xml:space="preserve">Sales Report: Premium Legal Services Performance in Russia Moscow (Q3 2023)</w:t>
      </w:r>
    </w:p>
    <w:bookmarkStart w:id="20" w:name="executive-summary"/>
    <w:p>
      <w:pPr>
        <w:pStyle w:val="Heading2"/>
      </w:pPr>
      <w:r>
        <w:t xml:space="preserve">Executive Summary</w:t>
      </w:r>
    </w:p>
    <w:p>
      <w:pPr>
        <w:pStyle w:val="FirstParagraph"/>
      </w:pPr>
      <w:r>
        <w:t xml:space="preserve">This comprehensive Sales Report details the operational performance of our legal practice within Russia's most dynamic jurisdiction: Moscow. The report analyzes client acquisition, revenue streams, market positioning, and strategic initiatives executed by our distinguished legal team across Moscow's sophisticated commercial landscape. As a leading law firm operating in Russia Moscow with 12 years of local expertise, we have achieved remarkable growth in Q3 2023 through targeted sales strategies aligned with Moscow's unique legal ecosystem. This document serves as both an internal performance benchmark and external evidence of our market leadership for prospective clients seeking authoritative legal counsel in Russia.</w:t>
      </w:r>
    </w:p>
    <w:bookmarkEnd w:id="20"/>
    <w:bookmarkStart w:id="21" w:name="X8a81ad2e48a43704a3c8f03ba2ece081eac1039"/>
    <w:p>
      <w:pPr>
        <w:pStyle w:val="Heading2"/>
      </w:pPr>
      <w:r>
        <w:t xml:space="preserve">Market Context: The Moscow Legal Landscape</w:t>
      </w:r>
    </w:p>
    <w:p>
      <w:pPr>
        <w:pStyle w:val="FirstParagraph"/>
      </w:pPr>
      <w:r>
        <w:t xml:space="preserve">Moscow remains the undisputed epicenter of Russia's legal industry, housing 78% of the country's top-tier law firms and handling 93% of complex commercial litigation. The current economic environment demands specialized legal solutions, with foreign investment in Russian infrastructure projects rising by 24% YoY (2023). Our Sales Report confirms that Moscow-based corporations increasingly prioritize "strategic legal partnership" over transactional services – a critical insight driving our sales approach. This market dynamic necessitates a Lawyer who understands both Russian regulatory frameworks and international business practices, which defines our value proposition in Russia Moscow.</w:t>
      </w:r>
    </w:p>
    <w:bookmarkEnd w:id="21"/>
    <w:bookmarkStart w:id="24" w:name="q3-2023-sales-performance-analysis"/>
    <w:p>
      <w:pPr>
        <w:pStyle w:val="Heading2"/>
      </w:pPr>
      <w:r>
        <w:t xml:space="preserve">Q3 2023 Sales Performance Analysis</w:t>
      </w:r>
    </w:p>
    <w:bookmarkStart w:id="22" w:name="revenue-metrics-moscow-operations"/>
    <w:p>
      <w:pPr>
        <w:pStyle w:val="Heading3"/>
      </w:pPr>
      <w:r>
        <w:t xml:space="preserve">Revenue Metrics (Moscow Operations)</w:t>
      </w:r>
    </w:p>
    <w:p>
      <w:pPr>
        <w:pStyle w:val="FirstParagraph"/>
      </w:pPr>
      <w:r>
        <w:t xml:space="preserve">Category</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Total Revenue (RUB)</w:t>
      </w:r>
    </w:p>
    <w:p>
      <w:pPr>
        <w:pStyle w:val="BodyText"/>
      </w:pPr>
      <w:r>
        <w:t xml:space="preserve">84,750,000</w:t>
      </w:r>
    </w:p>
    <w:p>
      <w:pPr>
        <w:pStyle w:val="BodyText"/>
      </w:pPr>
      <w:r>
        <w:t xml:space="preserve">112,635,000</w:t>
      </w:r>
    </w:p>
    <w:p>
      <w:pPr>
        <w:pStyle w:val="BodyText"/>
      </w:pPr>
      <w:r>
        <w:t xml:space="preserve">+33.1%</w:t>
      </w:r>
    </w:p>
    <w:p>
      <w:pPr>
        <w:pStyle w:val="BodyText"/>
      </w:pPr>
      <w:r>
        <w:t xml:space="preserve">New Client Acquisition</w:t>
      </w:r>
    </w:p>
    <w:p>
      <w:pPr>
        <w:pStyle w:val="BodyText"/>
      </w:pPr>
      <w:r>
        <w:t xml:space="preserve">27</w:t>
      </w:r>
    </w:p>
    <w:p>
      <w:pPr>
        <w:pStyle w:val="BodyText"/>
      </w:pPr>
      <w:r>
        <w:t xml:space="preserve">48</w:t>
      </w:r>
    </w:p>
    <w:p>
      <w:pPr>
        <w:pStyle w:val="BodyText"/>
      </w:pPr>
      <w:r>
        <w:t xml:space="preserve">+77.8%</w:t>
      </w:r>
    </w:p>
    <w:p>
      <w:pPr>
        <w:pStyle w:val="BodyText"/>
      </w:pPr>
      <w:r>
        <w:t xml:space="preserve">Cross-Sell Rate (Existing Clients)</w:t>
      </w:r>
    </w:p>
    <w:p>
      <w:pPr>
        <w:pStyle w:val="BodyText"/>
      </w:pPr>
      <w:r>
        <w:t xml:space="preserve">34%&lt; td &gt; 51%</w:t>
      </w:r>
      <w:r>
        <w:t xml:space="preserve"> </w:t>
      </w:r>
      <w:r>
        <w:t xml:space="preserve">&gt;&lt; td &gt; +50.0%</w:t>
      </w:r>
      <w:r>
        <w:t xml:space="preserve"> </w:t>
      </w:r>
      <w:r>
        <w:t xml:space="preserve">&gt;</w:t>
      </w:r>
    </w:p>
    <w:p>
      <w:pPr>
        <w:pStyle w:val="BodyText"/>
      </w:pPr>
      <w:r>
        <w:t xml:space="preserve">Average Deal Value</w:t>
      </w:r>
    </w:p>
    <w:p>
      <w:pPr>
        <w:pStyle w:val="BodyText"/>
      </w:pPr>
      <w:r>
        <w:t xml:space="preserve">1,825,000 RUB</w:t>
      </w:r>
    </w:p>
    <w:p>
      <w:pPr>
        <w:pStyle w:val="BodyText"/>
      </w:pPr>
      <w:r>
        <w:t xml:space="preserve">2,346,500 RUB</w:t>
      </w:r>
    </w:p>
    <w:p>
      <w:pPr>
        <w:pStyle w:val="BodyText"/>
      </w:pPr>
      <w:r>
        <w:t xml:space="preserve">+31.6%</w:t>
      </w:r>
    </w:p>
    <w:bookmarkEnd w:id="22"/>
    <w:bookmarkStart w:id="23" w:name="key-sales-achievement-highlights"/>
    <w:p>
      <w:pPr>
        <w:pStyle w:val="Heading3"/>
      </w:pPr>
      <w:r>
        <w:t xml:space="preserve">Key Sales Achievement Highlights</w:t>
      </w:r>
    </w:p>
    <w:p>
      <w:pPr>
        <w:numPr>
          <w:ilvl w:val="0"/>
          <w:numId w:val="1001"/>
        </w:numPr>
        <w:pStyle w:val="Compact"/>
      </w:pPr>
      <w:r>
        <w:rPr>
          <w:bCs/>
          <w:b/>
        </w:rPr>
        <w:t xml:space="preserve">Record New Business:</w:t>
      </w:r>
      <w:r>
        <w:t xml:space="preserve"> </w:t>
      </w:r>
      <w:r>
        <w:t xml:space="preserve">Secured 48 high-value engagements including three multi-million RUB contracts with multinational corporations expanding operations into Moscow's energy and fintech sectors.</w:t>
      </w:r>
    </w:p>
    <w:p>
      <w:pPr>
        <w:numPr>
          <w:ilvl w:val="0"/>
          <w:numId w:val="1001"/>
        </w:numPr>
        <w:pStyle w:val="Compact"/>
      </w:pPr>
      <w:r>
        <w:rPr>
          <w:bCs/>
          <w:b/>
        </w:rPr>
        <w:t xml:space="preserve">Moscow Market Penetration:</w:t>
      </w:r>
      <w:r>
        <w:t xml:space="preserve"> </w:t>
      </w:r>
      <w:r>
        <w:t xml:space="preserve">Achieved 62% growth in corporate clients within Moscow's Federal District – exceeding our annual target by 29 percentage points.</w:t>
      </w:r>
    </w:p>
    <w:p>
      <w:pPr>
        <w:numPr>
          <w:ilvl w:val="0"/>
          <w:numId w:val="1001"/>
        </w:numPr>
        <w:pStyle w:val="Compact"/>
      </w:pPr>
      <w:r>
        <w:rPr>
          <w:bCs/>
          <w:b/>
        </w:rPr>
        <w:t xml:space="preserve">Luxury Brand Positioning:</w:t>
      </w:r>
      <w:r>
        <w:t xml:space="preserve"> </w:t>
      </w:r>
      <w:r>
        <w:t xml:space="preserve">Successfully positioned our Lawyer team as the premium legal service provider for Fortune 500 companies operating in Russia Moscow, commanding 18% higher fee rates than market average.</w:t>
      </w:r>
    </w:p>
    <w:bookmarkEnd w:id="23"/>
    <w:bookmarkEnd w:id="24"/>
    <w:bookmarkStart w:id="25" w:name="Xf1a4261e0ccb4576fd65cf2c9135cf21644e6b3"/>
    <w:p>
      <w:pPr>
        <w:pStyle w:val="Heading2"/>
      </w:pPr>
      <w:r>
        <w:t xml:space="preserve">Client Acquisition Strategy: The Moscow Advantage</w:t>
      </w:r>
    </w:p>
    <w:p>
      <w:pPr>
        <w:pStyle w:val="FirstParagraph"/>
      </w:pPr>
      <w:r>
        <w:t xml:space="preserve">Our Sales Report demonstrates how we leverage Moscow's unique business environment for superior client acquisition. Unlike generic legal providers, our approach integrates three Moscow-specific elements:</w:t>
      </w:r>
    </w:p>
    <w:p>
      <w:pPr>
        <w:numPr>
          <w:ilvl w:val="0"/>
          <w:numId w:val="1002"/>
        </w:numPr>
        <w:pStyle w:val="Compact"/>
      </w:pPr>
      <w:r>
        <w:rPr>
          <w:bCs/>
          <w:b/>
        </w:rPr>
        <w:t xml:space="preserve">Location Intelligence:</w:t>
      </w:r>
      <w:r>
        <w:t xml:space="preserve"> </w:t>
      </w:r>
      <w:r>
        <w:t xml:space="preserve">Our sales team maintains dedicated offices in Central Moscow (Tverskoy District), enabling immediate response to time-sensitive legal matters – a critical factor for 89% of new clients citing "proximity" as decisive in their Lawyer selection.</w:t>
      </w:r>
    </w:p>
    <w:p>
      <w:pPr>
        <w:numPr>
          <w:ilvl w:val="0"/>
          <w:numId w:val="1002"/>
        </w:numPr>
        <w:pStyle w:val="Compact"/>
      </w:pPr>
      <w:r>
        <w:rPr>
          <w:bCs/>
          <w:b/>
        </w:rPr>
        <w:t xml:space="preserve">Cultural Fluency:</w:t>
      </w:r>
      <w:r>
        <w:t xml:space="preserve"> </w:t>
      </w:r>
      <w:r>
        <w:t xml:space="preserve">Sales representatives undergo mandatory cultural immersion training covering Moscow's business etiquette, regulatory nuances, and local judicial preferences – directly contributing to our 41% higher conversion rate from initial consultation to retained engagement.</w:t>
      </w:r>
    </w:p>
    <w:p>
      <w:pPr>
        <w:numPr>
          <w:ilvl w:val="0"/>
          <w:numId w:val="1002"/>
        </w:numPr>
        <w:pStyle w:val="Compact"/>
      </w:pPr>
      <w:r>
        <w:rPr>
          <w:bCs/>
          <w:b/>
        </w:rPr>
        <w:t xml:space="preserve">Industry-Specific Solutions:</w:t>
      </w:r>
      <w:r>
        <w:t xml:space="preserve"> </w:t>
      </w:r>
      <w:r>
        <w:t xml:space="preserve">We developed specialized service packages for Moscow's dominant sectors (energy: 38% of new deals; tech: 29%; finance: 23%), aligning with the city's economic focus as documented in our Sales Report data.</w:t>
      </w:r>
    </w:p>
    <w:bookmarkEnd w:id="25"/>
    <w:bookmarkStart w:id="26" w:name="retention-success-in-russia-moscow"/>
    <w:p>
      <w:pPr>
        <w:pStyle w:val="Heading2"/>
      </w:pPr>
      <w:r>
        <w:t xml:space="preserve">Retention Success in Russia Moscow</w:t>
      </w:r>
    </w:p>
    <w:p>
      <w:pPr>
        <w:pStyle w:val="FirstParagraph"/>
      </w:pPr>
      <w:r>
        <w:t xml:space="preserve">Client retention has become a cornerstone of our sales strategy, particularly within Russia Moscow where relationship continuity is paramount. Our Q3 2023 retention rate reached 94% – significantly above the Russian legal industry average of 76%. This success stems from:</w:t>
      </w:r>
    </w:p>
    <w:p>
      <w:pPr>
        <w:numPr>
          <w:ilvl w:val="0"/>
          <w:numId w:val="1003"/>
        </w:numPr>
        <w:pStyle w:val="Compact"/>
      </w:pPr>
      <w:r>
        <w:t xml:space="preserve">Quarterly strategic business reviews conducted exclusively in Moscow, providing real-time regulatory insights</w:t>
      </w:r>
    </w:p>
    <w:p>
      <w:pPr>
        <w:numPr>
          <w:ilvl w:val="0"/>
          <w:numId w:val="1003"/>
        </w:numPr>
        <w:pStyle w:val="Compact"/>
      </w:pPr>
      <w:r>
        <w:t xml:space="preserve">Dedicated "Moscow Regulatory Watch" service delivering weekly compliance updates tailored to clients' specific districts</w:t>
      </w:r>
    </w:p>
    <w:p>
      <w:pPr>
        <w:numPr>
          <w:ilvl w:val="0"/>
          <w:numId w:val="1003"/>
        </w:numPr>
        <w:pStyle w:val="Compact"/>
      </w:pPr>
      <w:r>
        <w:t xml:space="preserve">Exclusive access to our Moscow-based arbitration network, resolving 87% of disputes within 60 days (vs. industry average of 120+ days)</w:t>
      </w:r>
    </w:p>
    <w:bookmarkEnd w:id="26"/>
    <w:bookmarkStart w:id="27" w:name="Xcb0b8cf1fa14a28fb69a973242a74630ccc97a3"/>
    <w:p>
      <w:pPr>
        <w:pStyle w:val="Heading2"/>
      </w:pPr>
      <w:r>
        <w:t xml:space="preserve">Competitive Differentiation: Why Moscow Clients Choose Us</w:t>
      </w:r>
    </w:p>
    <w:p>
      <w:pPr>
        <w:pStyle w:val="FirstParagraph"/>
      </w:pPr>
      <w:r>
        <w:t xml:space="preserve">The Sales Report validates our unique value proposition in Russia Moscow. While competitors offer standard legal services, we provide: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Offering</w:t>
            </w:r>
          </w:p>
        </w:tc>
        <w:tc>
          <w:tcPr/>
          <w:p>
            <w:pPr>
              <w:pStyle w:val="Compact"/>
              <w:jc w:val="left"/>
            </w:pPr>
            <w:r>
              <w:t xml:space="preserve">Our Differentiated Solution (Moscow Focus)</w:t>
            </w:r>
          </w:p>
        </w:tc>
      </w:tr>
      <w:tr>
        <w:tc>
          <w:tcPr/>
          <w:p>
            <w:pPr>
              <w:pStyle w:val="Compact"/>
              <w:jc w:val="left"/>
            </w:pPr>
            <w:r>
              <w:t xml:space="preserve">Transactional legal support across Russia</w:t>
            </w:r>
          </w:p>
        </w:tc>
        <w:tc>
          <w:tcPr/>
          <w:p>
            <w:pPr>
              <w:pStyle w:val="Compact"/>
              <w:jc w:val="left"/>
            </w:pPr>
            <w:r>
              <w:rPr>
                <w:bCs/>
                <w:b/>
              </w:rPr>
              <w:t xml:space="preserve">Moscow-specific regulatory navigation</w:t>
            </w:r>
            <w:r>
              <w:t xml:space="preserve">: Direct relationships with Moscow City Court judges and regional enforcement authorities</w:t>
            </w:r>
          </w:p>
        </w:tc>
      </w:tr>
      <w:tr>
        <w:tc>
          <w:tcPr/>
          <w:p>
            <w:pPr>
              <w:pStyle w:val="Compact"/>
              <w:jc w:val="left"/>
            </w:pPr>
            <w:r>
              <w:t xml:space="preserve">Standard pricing models</w:t>
            </w:r>
          </w:p>
        </w:tc>
        <w:tc>
          <w:tcPr/>
          <w:p>
            <w:pPr>
              <w:pStyle w:val="Compact"/>
              <w:jc w:val="left"/>
            </w:pPr>
            <w:r>
              <w:rPr>
                <w:bCs/>
                <w:b/>
              </w:rPr>
              <w:t xml:space="preserve">Premium service tiers for Moscow clients:</w:t>
            </w:r>
            <w:r>
              <w:t xml:space="preserve"> </w:t>
            </w:r>
            <w:r>
              <w:t xml:space="preserve">Fixed-fee packages for routine matters + strategic "Moscow Growth Advisory" add-ons</w:t>
            </w:r>
          </w:p>
        </w:tc>
      </w:tr>
      <w:tr>
        <w:tc>
          <w:tcPr/>
          <w:p>
            <w:pPr>
              <w:pStyle w:val="Compact"/>
              <w:jc w:val="left"/>
            </w:pPr>
            <w:r>
              <w:t xml:space="preserve">Generic market reports</w:t>
            </w:r>
          </w:p>
        </w:tc>
        <w:tc>
          <w:tcPr/>
          <w:p>
            <w:pPr>
              <w:pStyle w:val="Compact"/>
              <w:jc w:val="left"/>
            </w:pPr>
            <w:r>
              <w:rPr>
                <w:bCs/>
                <w:b/>
              </w:rPr>
              <w:t xml:space="preserve">Moscow Market Pulse Analytics:</w:t>
            </w:r>
            <w:r>
              <w:t xml:space="preserve"> </w:t>
            </w:r>
            <w:r>
              <w:t xml:space="preserve">Customized quarterly insights on regulatory shifts affecting Moscow business operations</w:t>
            </w:r>
          </w:p>
        </w:tc>
      </w:tr>
    </w:tbl>
    <w:bookmarkEnd w:id="27"/>
    <w:bookmarkStart w:id="28" w:name="X45b8166a1ff37f3cc43ff58d2c08ca050633b50"/>
    <w:p>
      <w:pPr>
        <w:pStyle w:val="Heading2"/>
      </w:pPr>
      <w:r>
        <w:t xml:space="preserve">Future Outlook &amp; Strategic Sales Initiatives (Q4 2023)</w:t>
      </w:r>
    </w:p>
    <w:p>
      <w:pPr>
        <w:pStyle w:val="FirstParagraph"/>
      </w:pPr>
      <w:r>
        <w:t xml:space="preserve">This Sales Report concludes with aggressive yet achievable growth targets for the Russia Moscow market:</w:t>
      </w:r>
    </w:p>
    <w:p>
      <w:pPr>
        <w:numPr>
          <w:ilvl w:val="0"/>
          <w:numId w:val="1004"/>
        </w:numPr>
        <w:pStyle w:val="Compact"/>
      </w:pPr>
      <w:r>
        <w:rPr>
          <w:bCs/>
          <w:b/>
        </w:rPr>
        <w:t xml:space="preserve">Target 65+ new clients</w:t>
      </w:r>
      <w:r>
        <w:t xml:space="preserve"> </w:t>
      </w:r>
      <w:r>
        <w:t xml:space="preserve">by Q4, focusing on Moscow's emerging biotech sector (upcoming regulatory changes in Federal Law #329-FZ)</w:t>
      </w:r>
    </w:p>
    <w:p>
      <w:pPr>
        <w:numPr>
          <w:ilvl w:val="0"/>
          <w:numId w:val="1004"/>
        </w:numPr>
        <w:pStyle w:val="Compact"/>
      </w:pPr>
      <w:r>
        <w:rPr>
          <w:bCs/>
          <w:b/>
        </w:rPr>
        <w:t xml:space="preserve">Launch "Moscow Legal Accelerator" program</w:t>
      </w:r>
      <w:r>
        <w:t xml:space="preserve">: A premium service bundling rapid-response legal support with Moscow business development consultations</w:t>
      </w:r>
    </w:p>
    <w:p>
      <w:pPr>
        <w:numPr>
          <w:ilvl w:val="0"/>
          <w:numId w:val="1004"/>
        </w:numPr>
        <w:pStyle w:val="Compact"/>
      </w:pPr>
      <w:r>
        <w:rPr>
          <w:bCs/>
          <w:b/>
        </w:rPr>
        <w:t xml:space="preserve">Expand sales team to 17 professionals</w:t>
      </w:r>
      <w:r>
        <w:t xml:space="preserve">, all based in Moscow with specialized sector expertise (current: 12)</w:t>
      </w:r>
    </w:p>
    <w:bookmarkEnd w:id="28"/>
    <w:bookmarkStart w:id="29" w:name="X570b93956c4ffe2619c558fdd6d06a3ae715c23"/>
    <w:p>
      <w:pPr>
        <w:pStyle w:val="Heading2"/>
      </w:pPr>
      <w:r>
        <w:t xml:space="preserve">Conclusion: The Unmatched Russia Moscow Advantage</w:t>
      </w:r>
    </w:p>
    <w:p>
      <w:pPr>
        <w:pStyle w:val="FirstParagraph"/>
      </w:pPr>
      <w:r>
        <w:t xml:space="preserve">This Sales Report unequivocally demonstrates why our Lawyer practice leads in the Russia Moscow legal market. Our strategic focus on Moscow's unique regulatory environment, cultural nuances, and economic priorities has generated exceptional sales results that outperform national benchmarks by 31-47% across key metrics. The data reveals a clear pattern: clients in Russia Moscow don't merely hire lawyers – they partner with specialists who speak the language of Moscow business. As we advance into Q4 2023, we remain committed to elevating this partnership model while expanding our market leadership position within Russia's most vital economic hub.</w:t>
      </w:r>
    </w:p>
    <w:p>
      <w:pPr>
        <w:pStyle w:val="BodyText"/>
      </w:pPr>
      <w:r>
        <w:rPr>
          <w:bCs/>
          <w:b/>
        </w:rPr>
        <w:t xml:space="preserve">Prepared for: Executive Leadership | Sales Department | Strategic Partners</w:t>
      </w:r>
      <w:r>
        <w:br/>
      </w:r>
      <w:r>
        <w:rPr>
          <w:bCs/>
          <w:b/>
        </w:rPr>
        <w:t xml:space="preserve">Date:</w:t>
      </w:r>
      <w:r>
        <w:t xml:space="preserve"> </w:t>
      </w:r>
      <w:r>
        <w:t xml:space="preserve">October 15, 2023</w:t>
      </w:r>
      <w:r>
        <w:br/>
      </w:r>
      <w:r>
        <w:rPr>
          <w:bCs/>
          <w:b/>
        </w:rPr>
        <w:t xml:space="preserve">Report Prepared By:</w:t>
      </w:r>
      <w:r>
        <w:t xml:space="preserve"> </w:t>
      </w:r>
      <w:r>
        <w:t xml:space="preserve">Moscow Legal Solutions Sales Analytics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Legal Services Sales Report: Moscow Market</dc:title>
  <dc:creator/>
  <dc:language>en</dc:language>
  <cp:keywords/>
  <dcterms:created xsi:type="dcterms:W3CDTF">2026-07-23T23:19:20Z</dcterms:created>
  <dcterms:modified xsi:type="dcterms:W3CDTF">2026-07-23T23:19:20Z</dcterms:modified>
</cp:coreProperties>
</file>

<file path=docProps/custom.xml><?xml version="1.0" encoding="utf-8"?>
<Properties xmlns="http://schemas.openxmlformats.org/officeDocument/2006/custom-properties" xmlns:vt="http://schemas.openxmlformats.org/officeDocument/2006/docPropsVTypes"/>
</file>