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cd92e4e9f714e2367349d36034ca47048a8da91"/>
    <w:p>
      <w:pPr>
        <w:pStyle w:val="Heading1"/>
      </w:pPr>
      <w:r>
        <w:t xml:space="preserve">Comprehensive Sales Report: Legal Services Performance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Al-Harbi Legal Consultancy</w:t>
      </w:r>
      <w:r>
        <w:br/>
      </w:r>
      <w:r>
        <w:rPr>
          <w:bCs/>
          <w:b/>
        </w:rPr>
        <w:t xml:space="preserve">Prepared By:</w:t>
      </w:r>
      <w:r>
        <w:t xml:space="preserve"> </w:t>
      </w:r>
      <w:r>
        <w:t xml:space="preserve">Sales Performance Division, Jeddah Office</w:t>
      </w:r>
    </w:p>
    <w:bookmarkStart w:id="20" w:name="i.-executive-summary"/>
    <w:p>
      <w:pPr>
        <w:pStyle w:val="Heading2"/>
      </w:pPr>
      <w:r>
        <w:t xml:space="preserve">I. Executive Summary</w:t>
      </w:r>
    </w:p>
    <w:p>
      <w:pPr>
        <w:pStyle w:val="FirstParagraph"/>
      </w:pPr>
      <w:r>
        <w:t xml:space="preserve">This Sales Report details the performance of legal services across Saudi Arabia Jeddah for Q3 2023. The report demonstrates a 17% year-on-year growth in client acquisition and a 14% increase in revenue generation, solidifying our position as the leading law firm specializing in commercial litigation and corporate compliance within Jeddah. As the legal market in Saudi Arabia continues to expand under Vision 2030 initiatives, our Jeddah office has successfully capitalized on this momentum, positioning itself as a critical resource for both local enterprises and international firms navigating Saudi regulatory frameworks. The data underscores the strategic importance of having a dedicated lawyer team fluent in Arabic legal procedures and Western commercial practices.</w:t>
      </w:r>
    </w:p>
    <w:bookmarkEnd w:id="20"/>
    <w:bookmarkStart w:id="21" w:name="Xb0e18491a4d29fe9809cf784170123f3217e4e1"/>
    <w:p>
      <w:pPr>
        <w:pStyle w:val="Heading2"/>
      </w:pPr>
      <w:r>
        <w:t xml:space="preserve">II. Key Sales Metrics: Jeddah Market Focus</w:t>
      </w:r>
    </w:p>
    <w:p>
      <w:pPr>
        <w:pStyle w:val="FirstParagraph"/>
      </w:pPr>
      <w:r>
        <w:t xml:space="preserve">The Q3 sales performance reveals significant progress across all service lines:</w:t>
      </w:r>
    </w:p>
    <w:p>
      <w:pPr>
        <w:numPr>
          <w:ilvl w:val="0"/>
          <w:numId w:val="1001"/>
        </w:numPr>
        <w:pStyle w:val="Compact"/>
      </w:pPr>
      <w:r>
        <w:rPr>
          <w:bCs/>
          <w:b/>
        </w:rPr>
        <w:t xml:space="preserve">Client Acquisition:</w:t>
      </w:r>
      <w:r>
        <w:t xml:space="preserve"> </w:t>
      </w:r>
      <w:r>
        <w:t xml:space="preserve">42 new corporate clients secured (vs. 36 in Q2), including three multinational entities establishing Saudi Arabia Jeddah headquarters</w:t>
      </w:r>
    </w:p>
    <w:p>
      <w:pPr>
        <w:numPr>
          <w:ilvl w:val="0"/>
          <w:numId w:val="1001"/>
        </w:numPr>
        <w:pStyle w:val="Compact"/>
      </w:pPr>
      <w:r>
        <w:rPr>
          <w:bCs/>
          <w:b/>
        </w:rPr>
        <w:t xml:space="preserve">Revenue Growth:</w:t>
      </w:r>
      <w:r>
        <w:t xml:space="preserve"> </w:t>
      </w:r>
      <w:r>
        <w:t xml:space="preserve">SAR 18.7 million generated (14% increase from Q2), driven by high-value contract negotiations and dispute resolution mandates</w:t>
      </w:r>
    </w:p>
    <w:p>
      <w:pPr>
        <w:numPr>
          <w:ilvl w:val="0"/>
          <w:numId w:val="1001"/>
        </w:numPr>
        <w:pStyle w:val="Compact"/>
      </w:pPr>
      <w:r>
        <w:rPr>
          <w:bCs/>
          <w:b/>
        </w:rPr>
        <w:t xml:space="preserve">Client Retention Rate:</w:t>
      </w:r>
      <w:r>
        <w:t xml:space="preserve"> </w:t>
      </w:r>
      <w:r>
        <w:t xml:space="preserve">92% (exceeding regional benchmark of 85%), reflecting exceptional service quality from our Jeddah-based lawyer team</w:t>
      </w:r>
    </w:p>
    <w:p>
      <w:pPr>
        <w:numPr>
          <w:ilvl w:val="0"/>
          <w:numId w:val="1001"/>
        </w:numPr>
        <w:pStyle w:val="Compact"/>
      </w:pPr>
      <w:r>
        <w:rPr>
          <w:bCs/>
          <w:b/>
        </w:rPr>
        <w:t xml:space="preserve">Service Mix:</w:t>
      </w:r>
      <w:r>
        <w:t xml:space="preserve"> </w:t>
      </w:r>
      <w:r>
        <w:t xml:space="preserve">65% commercial litigation, 20% M&amp;A advisory, and 15% regulatory compliance – aligning with Saudi Arabia's focus on business-friendly legal reforms</w:t>
      </w:r>
    </w:p>
    <w:bookmarkEnd w:id="21"/>
    <w:bookmarkStart w:id="22" w:name="Xf47600f6d938fda0a1e0c48d4745dbabe3e54e4"/>
    <w:p>
      <w:pPr>
        <w:pStyle w:val="Heading2"/>
      </w:pPr>
      <w:r>
        <w:t xml:space="preserve">III. Market Analysis: Why Jeddah is the Legal Hub</w:t>
      </w:r>
    </w:p>
    <w:p>
      <w:pPr>
        <w:pStyle w:val="FirstParagraph"/>
      </w:pPr>
      <w:r>
        <w:t xml:space="preserve">Jeddah has emerged as Saudi Arabia's second most dynamic legal market after Riyadh, driven by its strategic port access, tourism infrastructure development (including the new Red Sea Project), and status as a commercial gateway for Africa and Asia. This Sales Report identifies three critical factors behind our success in Jeddah:</w:t>
      </w:r>
    </w:p>
    <w:p>
      <w:pPr>
        <w:numPr>
          <w:ilvl w:val="0"/>
          <w:numId w:val="1002"/>
        </w:numPr>
        <w:pStyle w:val="Compact"/>
      </w:pPr>
      <w:r>
        <w:rPr>
          <w:bCs/>
          <w:b/>
        </w:rPr>
        <w:t xml:space="preserve">Regulatory Synergy:</w:t>
      </w:r>
      <w:r>
        <w:t xml:space="preserve"> </w:t>
      </w:r>
      <w:r>
        <w:t xml:space="preserve">Our lawyer team’s expertise in Saudi Arabia's Commercial Courts Act (2020) and the new Investment Law has been pivotal. We secured 78% of litigation cases involving foreign investors due to our deep understanding of Jeddah court procedures.</w:t>
      </w:r>
    </w:p>
    <w:p>
      <w:pPr>
        <w:numPr>
          <w:ilvl w:val="0"/>
          <w:numId w:val="1002"/>
        </w:numPr>
        <w:pStyle w:val="Compact"/>
      </w:pPr>
      <w:r>
        <w:rPr>
          <w:bCs/>
          <w:b/>
        </w:rPr>
        <w:t xml:space="preserve">Cultural Competency:</w:t>
      </w:r>
      <w:r>
        <w:t xml:space="preserve"> </w:t>
      </w:r>
      <w:r>
        <w:t xml:space="preserve">Unlike competitors, our Jeddah office employs bilingual lawyer specialists who navigate both formal Saudi business etiquette and international commercial expectations, a key differentiator in closing high-stakes deals.</w:t>
      </w:r>
    </w:p>
    <w:p>
      <w:pPr>
        <w:numPr>
          <w:ilvl w:val="0"/>
          <w:numId w:val="1002"/>
        </w:numPr>
        <w:pStyle w:val="Compact"/>
      </w:pPr>
      <w:r>
        <w:rPr>
          <w:bCs/>
          <w:b/>
        </w:rPr>
        <w:t xml:space="preserve">Vision 2030 Alignment:</w:t>
      </w:r>
      <w:r>
        <w:t xml:space="preserve"> </w:t>
      </w:r>
      <w:r>
        <w:t xml:space="preserve">We've positioned ourselves as legal advisors for Vision 2030 projects (e.g., NEOM partnerships), with 45% of new clients seeking counsel on compliance within the new economic zones established in Jeddah's industrial corridors.</w:t>
      </w:r>
    </w:p>
    <w:bookmarkEnd w:id="22"/>
    <w:bookmarkStart w:id="23" w:name="iv.-sales-performance-by-service-line"/>
    <w:p>
      <w:pPr>
        <w:pStyle w:val="Heading2"/>
      </w:pPr>
      <w:r>
        <w:t xml:space="preserve">IV. Sales Performance by Service Line</w:t>
      </w:r>
    </w:p>
    <w:p>
      <w:pPr>
        <w:pStyle w:val="FirstParagraph"/>
      </w:pPr>
      <w:r>
        <w:t xml:space="preserve">The following table illustrates our service line performance in Saudi Arabia Jeddah:</w:t>
      </w:r>
    </w:p>
    <w:p>
      <w:pPr>
        <w:pStyle w:val="BodyText"/>
      </w:pPr>
      <w:r>
        <w:t xml:space="preserve">Service Line</w:t>
      </w:r>
    </w:p>
    <w:p>
      <w:pPr>
        <w:pStyle w:val="BodyText"/>
      </w:pPr>
      <w:r>
        <w:t xml:space="preserve">Q3 2023 Revenue (SAR)</w:t>
      </w:r>
    </w:p>
    <w:p>
      <w:pPr>
        <w:pStyle w:val="BodyText"/>
      </w:pPr>
      <w:r>
        <w:t xml:space="preserve">YoY Growth</w:t>
      </w:r>
    </w:p>
    <w:p>
      <w:pPr>
        <w:pStyle w:val="BodyText"/>
      </w:pPr>
      <w:r>
        <w:t xml:space="preserve">Key Jeddah Clients</w:t>
      </w:r>
    </w:p>
    <w:p>
      <w:pPr>
        <w:pStyle w:val="BodyText"/>
      </w:pPr>
      <w:r>
        <w:t xml:space="preserve">Commercial Litigation</w:t>
      </w:r>
    </w:p>
    <w:p>
      <w:pPr>
        <w:pStyle w:val="BodyText"/>
      </w:pPr>
      <w:r>
        <w:t xml:space="preserve">12.1M</w:t>
      </w:r>
    </w:p>
    <w:p>
      <w:pPr>
        <w:pStyle w:val="BodyText"/>
      </w:pPr>
      <w:r>
        <w:t xml:space="preserve">+23%</w:t>
      </w:r>
    </w:p>
    <w:p>
      <w:pPr>
        <w:pStyle w:val="BodyText"/>
      </w:pPr>
      <w:r>
        <w:t xml:space="preserve">Majid Al Futtaim Group, SABIC Regional Office</w:t>
      </w:r>
    </w:p>
    <w:p>
      <w:pPr>
        <w:pStyle w:val="BodyText"/>
      </w:pPr>
      <w:r>
        <w:t xml:space="preserve">M&amp;A Advisory</w:t>
      </w:r>
    </w:p>
    <w:p>
      <w:pPr>
        <w:pStyle w:val="BodyText"/>
      </w:pPr>
      <w:r>
        <w:t xml:space="preserve">3.9M</w:t>
      </w:r>
    </w:p>
    <w:p>
      <w:pPr>
        <w:pStyle w:val="BodyText"/>
      </w:pPr>
      <w:r>
        <w:t xml:space="preserve">+18%</w:t>
      </w:r>
    </w:p>
    <w:p>
      <w:pPr>
        <w:pStyle w:val="BodyText"/>
      </w:pPr>
      <w:r>
        <w:t xml:space="preserve">National Commercial Bank (Jeddah), Riyadh Capital Partners</w:t>
      </w:r>
    </w:p>
    <w:p>
      <w:pPr>
        <w:pStyle w:val="BodyText"/>
      </w:pPr>
      <w:r>
        <w:t xml:space="preserve">Regulatory Compliance</w:t>
      </w:r>
    </w:p>
    <w:p>
      <w:pPr>
        <w:pStyle w:val="BodyText"/>
      </w:pPr>
      <w:r>
        <w:t xml:space="preserve">&lt;</w:t>
      </w:r>
    </w:p>
    <w:p>
      <w:pPr>
        <w:pStyle w:val="BodyText"/>
      </w:pPr>
      <w:r>
        <w:t xml:space="preserve">2.7M</w:t>
      </w:r>
    </w:p>
    <w:p>
      <w:pPr>
        <w:pStyle w:val="BodyText"/>
      </w:pPr>
      <w:r>
        <w:t xml:space="preserve">+9%</w:t>
      </w:r>
    </w:p>
    <w:p>
      <w:pPr>
        <w:pStyle w:val="BodyText"/>
      </w:pPr>
      <w:r>
        <w:br/>
      </w:r>
    </w:p>
    <w:p>
      <w:pPr>
        <w:pStyle w:val="BodyText"/>
      </w:pPr>
      <w:r>
        <w:t xml:space="preserve">The Commercial Litigation segment shows the strongest growth, directly correlating with increased foreign investment in Jeddah's Red Sea tourism zone. Our lawyer team’s ability to deliver rapid case resolution (average 42 days vs. national average of 78 days) has been instrumental in this success.</w:t>
      </w:r>
    </w:p>
    <w:bookmarkEnd w:id="23"/>
    <w:bookmarkStart w:id="24" w:name="v.-strategic-recommendations"/>
    <w:p>
      <w:pPr>
        <w:pStyle w:val="Heading2"/>
      </w:pPr>
      <w:r>
        <w:t xml:space="preserve">V. Strategic Recommendations</w:t>
      </w:r>
    </w:p>
    <w:p>
      <w:pPr>
        <w:pStyle w:val="FirstParagraph"/>
      </w:pPr>
      <w:r>
        <w:t xml:space="preserve">Based on this Sales Report, we propose three immediate initiatives for the Saudi Arabia Jeddah market:</w:t>
      </w:r>
    </w:p>
    <w:p>
      <w:pPr>
        <w:numPr>
          <w:ilvl w:val="0"/>
          <w:numId w:val="1003"/>
        </w:numPr>
        <w:pStyle w:val="Compact"/>
      </w:pPr>
      <w:r>
        <w:rPr>
          <w:bCs/>
          <w:b/>
        </w:rPr>
        <w:t xml:space="preserve">Expand Jeddah-Specific Legal Tech:</w:t>
      </w:r>
      <w:r>
        <w:t xml:space="preserve"> </w:t>
      </w:r>
      <w:r>
        <w:t xml:space="preserve">Invest in a Sharia-compliant digital case management system tailored to Jeddah's court protocols. This would reduce administrative delays by 30%, directly enhancing our lawyer team's efficiency for high-volume cases.</w:t>
      </w:r>
    </w:p>
    <w:p>
      <w:pPr>
        <w:numPr>
          <w:ilvl w:val="0"/>
          <w:numId w:val="1003"/>
        </w:numPr>
        <w:pStyle w:val="Compact"/>
      </w:pPr>
      <w:r>
        <w:rPr>
          <w:bCs/>
          <w:b/>
        </w:rPr>
        <w:t xml:space="preserve">Target Tourism Sector Growth:</w:t>
      </w:r>
      <w:r>
        <w:t xml:space="preserve"> </w:t>
      </w:r>
      <w:r>
        <w:t xml:space="preserve">Develop a specialized service package for hospitality clients (e.g., luxury hotel chains, cruise operators) entering Saudi Arabia Jeddah. The tourism sector is projected to contribute 12% of Jeddah's GDP by 2030.</w:t>
      </w:r>
    </w:p>
    <w:p>
      <w:pPr>
        <w:numPr>
          <w:ilvl w:val="0"/>
          <w:numId w:val="1003"/>
        </w:numPr>
        <w:pStyle w:val="Compact"/>
      </w:pPr>
      <w:r>
        <w:rPr>
          <w:bCs/>
          <w:b/>
        </w:rPr>
        <w:t xml:space="preserve">Establish Jeddah Legal Academy:</w:t>
      </w:r>
      <w:r>
        <w:t xml:space="preserve"> </w:t>
      </w:r>
      <w:r>
        <w:t xml:space="preserve">Partner with King Abdulaziz University to create a certification program for local lawyers on international arbitration standards – addressing the critical shortage of bilingual legal talent in Saudi Arabia.</w:t>
      </w:r>
    </w:p>
    <w:bookmarkEnd w:id="24"/>
    <w:bookmarkStart w:id="25" w:name="vi.-challenges-mitigation-strategies"/>
    <w:p>
      <w:pPr>
        <w:pStyle w:val="Heading2"/>
      </w:pPr>
      <w:r>
        <w:t xml:space="preserve">VI. Challenges &amp; Mitigation Strategies</w:t>
      </w:r>
    </w:p>
    <w:p>
      <w:pPr>
        <w:pStyle w:val="FirstParagraph"/>
      </w:pPr>
      <w:r>
        <w:t xml:space="preserve">We identified two primary challenges impacting sales velocity in Jeddah:</w:t>
      </w:r>
    </w:p>
    <w:p>
      <w:pPr>
        <w:numPr>
          <w:ilvl w:val="0"/>
          <w:numId w:val="1004"/>
        </w:numPr>
        <w:pStyle w:val="Compact"/>
      </w:pPr>
      <w:r>
        <w:rPr>
          <w:bCs/>
          <w:b/>
        </w:rPr>
        <w:t xml:space="preserve">Competitor Aggression:</w:t>
      </w:r>
      <w:r>
        <w:t xml:space="preserve"> </w:t>
      </w:r>
      <w:r>
        <w:t xml:space="preserve">Rival firms have reduced pricing for standard corporate filings. *Mitigation:* We're implementing tiered service packages (e.g., "Jeddah Compliance Plus" with 24/7 lawyer access), maintaining premium positioning while capturing market share.</w:t>
      </w:r>
    </w:p>
    <w:p>
      <w:pPr>
        <w:numPr>
          <w:ilvl w:val="0"/>
          <w:numId w:val="1004"/>
        </w:numPr>
        <w:pStyle w:val="Compact"/>
      </w:pPr>
      <w:r>
        <w:rPr>
          <w:bCs/>
          <w:b/>
        </w:rPr>
        <w:t xml:space="preserve">Client Education Gap:</w:t>
      </w:r>
      <w:r>
        <w:t xml:space="preserve"> </w:t>
      </w:r>
      <w:r>
        <w:t xml:space="preserve">Many Jeddah-based SMEs lack awareness of new Saudi Arabia legal frameworks. *Mitigation:* Launching free quarterly webinars hosted by our senior lawyer team, focusing on practical applications of Vision 2030 reforms in commercial operations.</w:t>
      </w:r>
    </w:p>
    <w:bookmarkEnd w:id="25"/>
    <w:bookmarkStart w:id="26" w:name="vii.-conclusion"/>
    <w:p>
      <w:pPr>
        <w:pStyle w:val="Heading2"/>
      </w:pPr>
      <w:r>
        <w:t xml:space="preserve">VII. Conclusion</w:t>
      </w:r>
    </w:p>
    <w:p>
      <w:pPr>
        <w:pStyle w:val="FirstParagraph"/>
      </w:pPr>
      <w:r>
        <w:t xml:space="preserve">This Sales Report confirms that our strategic focus on Jeddah as a legal innovation center has delivered exceptional results. The synergy between local market expertise and international standards – embodied by our Saudi Arabia Jeddah lawyer team – is now the cornerstone of our competitive advantage across the Kingdom. With commercial litigation demand in Jeddah rising 21% YoY, we project exceeding SAR 80 million in annual revenue by Q4 2023.</w:t>
      </w:r>
    </w:p>
    <w:p>
      <w:pPr>
        <w:pStyle w:val="BodyText"/>
      </w:pPr>
      <w:r>
        <w:t xml:space="preserve">As Saudi Arabia continues its transformative journey, the role of a skilled lawyer in Jeddah extends beyond dispute resolution; it is now fundamental to enabling global businesses to operate confidently within the Kingdom's evolving regulatory landscape. Our sales data proves that clients actively seek law firms whose expertise transcends geographical boundaries – and we have positioned ourselves as the premier choice for navigating legal complexities in Saudi Arabia Jeddah. We recommend doubling down on Jeddah-focused initiatives to capture 35% market share in commercial legal services within this vital economic hub by 2025.</w:t>
      </w:r>
    </w:p>
    <w:p>
      <w:pPr>
        <w:pStyle w:val="BodyText"/>
      </w:pPr>
      <w:r>
        <w:rPr>
          <w:bCs/>
          <w:b/>
        </w:rPr>
        <w:t xml:space="preserve">Prepared By:</w:t>
      </w:r>
      <w:r>
        <w:t xml:space="preserve"> </w:t>
      </w:r>
      <w:r>
        <w:t xml:space="preserve">Ahmed Al-Saud, Director of Sales</w:t>
      </w:r>
      <w:r>
        <w:br/>
      </w:r>
      <w:r>
        <w:rPr>
          <w:bCs/>
          <w:b/>
        </w:rPr>
        <w:t xml:space="preserve">Al-Harbi Legal Consultancy | Jeddah Office |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Saudi Arabia Jeddah</dc:title>
  <dc:creator/>
  <dc:language>en</dc:language>
  <cp:keywords/>
  <dcterms:created xsi:type="dcterms:W3CDTF">2026-07-24T05:50:10Z</dcterms:created>
  <dcterms:modified xsi:type="dcterms:W3CDTF">2026-07-24T05:50:10Z</dcterms:modified>
</cp:coreProperties>
</file>

<file path=docProps/custom.xml><?xml version="1.0" encoding="utf-8"?>
<Properties xmlns="http://schemas.openxmlformats.org/officeDocument/2006/custom-properties" xmlns:vt="http://schemas.openxmlformats.org/officeDocument/2006/docPropsVTypes"/>
</file>