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9c1dce5d13026a78c552127db2bbb146a16b15a"/>
    <w:p>
      <w:pPr>
        <w:pStyle w:val="Heading1"/>
      </w:pPr>
      <w:r>
        <w:t xml:space="preserve">Comprehensive Sales Report: Legal Services Performance Analysis for Riyadh, Saudi Arabia Market (Q3 2023)</w:t>
      </w:r>
    </w:p>
    <w:bookmarkStart w:id="20" w:name="executive-summary"/>
    <w:p>
      <w:pPr>
        <w:pStyle w:val="Heading2"/>
      </w:pPr>
      <w:r>
        <w:t xml:space="preserve">Executive Summary</w:t>
      </w:r>
    </w:p>
    <w:p>
      <w:pPr>
        <w:pStyle w:val="FirstParagraph"/>
      </w:pPr>
      <w:r>
        <w:t xml:space="preserve">This Sales Report details the performance of our legal services division operating specifically within Saudi Arabia Riyadh. The report analyzes client acquisition, service delivery metrics, market positioning, and strategic opportunities for the esteemed Law Firm "Al-Riyadh Legal Counsel" during Q3 2023. As a premier</w:t>
      </w:r>
      <w:r>
        <w:t xml:space="preserve"> </w:t>
      </w:r>
      <w:r>
        <w:rPr>
          <w:bCs/>
          <w:b/>
        </w:rPr>
        <w:t xml:space="preserve">Lawyer</w:t>
      </w:r>
      <w:r>
        <w:t xml:space="preserve"> </w:t>
      </w:r>
      <w:r>
        <w:t xml:space="preserve">practice serving the dynamic business landscape of</w:t>
      </w:r>
      <w:r>
        <w:t xml:space="preserve"> </w:t>
      </w:r>
      <w:r>
        <w:rPr>
          <w:bCs/>
          <w:b/>
        </w:rPr>
        <w:t xml:space="preserve">Saudi Arabia Riyadh</w:t>
      </w:r>
      <w:r>
        <w:t xml:space="preserve">, our focus remains on delivering Sharia-compliant, internationally recognized legal expertise while driving sustainable client growth. This Sales Report underscores significant progress in key service lines critical to the Kingdom's Vision 2030 transformation.</w:t>
      </w:r>
    </w:p>
    <w:bookmarkEnd w:id="20"/>
    <w:bookmarkStart w:id="21" w:name="Xf05aff6e4eeb4e99934ca46581d52890f9e1b36"/>
    <w:p>
      <w:pPr>
        <w:pStyle w:val="Heading2"/>
      </w:pPr>
      <w:r>
        <w:t xml:space="preserve">Market Context: Riyadh as the Legal Hub of Saudi Arabia</w:t>
      </w:r>
    </w:p>
    <w:p>
      <w:pPr>
        <w:pStyle w:val="FirstParagraph"/>
      </w:pPr>
      <w:r>
        <w:t xml:space="preserve">Riyadh, as the capital and economic nerve center of</w:t>
      </w:r>
      <w:r>
        <w:t xml:space="preserve"> </w:t>
      </w:r>
      <w:r>
        <w:rPr>
          <w:bCs/>
          <w:b/>
        </w:rPr>
        <w:t xml:space="preserve">Saudi Arabia</w:t>
      </w:r>
      <w:r>
        <w:t xml:space="preserve">, continues to be the undisputed epicenter for high-value legal activity. The city's rapid development under Vision 2030 has spurred unprecedented demand for sophisticated legal services across foreign investment, commercial contracts, corporate structuring, and compliance with the Saudi Council of Engineers (SCE) and Ministry of Investment regulations. This Sales Report confirms that</w:t>
      </w:r>
      <w:r>
        <w:t xml:space="preserve"> </w:t>
      </w:r>
      <w:r>
        <w:rPr>
          <w:bCs/>
          <w:b/>
        </w:rPr>
        <w:t xml:space="preserve">Saudi Arabia Riyadh</w:t>
      </w:r>
      <w:r>
        <w:t xml:space="preserve"> </w:t>
      </w:r>
      <w:r>
        <w:t xml:space="preserve">represents over 75% of our firm's total client base in the Kingdom. Understanding this localized market imperative is fundamental to every strategic decision made by our</w:t>
      </w:r>
      <w:r>
        <w:t xml:space="preserve"> </w:t>
      </w:r>
      <w:r>
        <w:rPr>
          <w:bCs/>
          <w:b/>
        </w:rPr>
        <w:t xml:space="preserve">Lawyer</w:t>
      </w:r>
      <w:r>
        <w:t xml:space="preserve"> </w:t>
      </w:r>
      <w:r>
        <w:t xml:space="preserve">team.</w:t>
      </w:r>
    </w:p>
    <w:bookmarkEnd w:id="21"/>
    <w:bookmarkStart w:id="22" w:name="X1bb4573976352bd1ebf36c41e5740b72d8dfacd"/>
    <w:p>
      <w:pPr>
        <w:pStyle w:val="Heading2"/>
      </w:pPr>
      <w:r>
        <w:t xml:space="preserve">Key Performance Indicators (KPIs) - Sales Report Highlights</w:t>
      </w:r>
    </w:p>
    <w:p>
      <w:pPr>
        <w:pStyle w:val="FirstParagraph"/>
      </w:pPr>
      <w:r>
        <w:t xml:space="preserve">This Sales Report quantifies success across critical sales and service delivery metrics:</w:t>
      </w:r>
    </w:p>
    <w:p>
      <w:pPr>
        <w:numPr>
          <w:ilvl w:val="0"/>
          <w:numId w:val="1001"/>
        </w:numPr>
        <w:pStyle w:val="Compact"/>
      </w:pPr>
      <w:r>
        <w:rPr>
          <w:bCs/>
          <w:b/>
        </w:rPr>
        <w:t xml:space="preserve">New Client Acquisition:</w:t>
      </w:r>
      <w:r>
        <w:t xml:space="preserve"> </w:t>
      </w:r>
      <w:r>
        <w:t xml:space="preserve">32% increase in new clients compared to Q2, driven by targeted outreach to foreign investors and Saudi SMEs entering the market. Riyadh accounted for 89% of these new engagements.</w:t>
      </w:r>
    </w:p>
    <w:p>
      <w:pPr>
        <w:numPr>
          <w:ilvl w:val="0"/>
          <w:numId w:val="1001"/>
        </w:numPr>
        <w:pStyle w:val="Compact"/>
      </w:pPr>
      <w:r>
        <w:rPr>
          <w:bCs/>
          <w:b/>
        </w:rPr>
        <w:t xml:space="preserve">Service Revenue Growth:</w:t>
      </w:r>
      <w:r>
        <w:t xml:space="preserve"> </w:t>
      </w:r>
      <w:r>
        <w:t xml:space="preserve">Overall legal services revenue grew by 28%, with corporate commercial law (35%), dispute resolution (25%), and compliance advisory (20%) being top performers. Riyadh-based clients contributed 91% of this growth.</w:t>
      </w:r>
    </w:p>
    <w:p>
      <w:pPr>
        <w:numPr>
          <w:ilvl w:val="0"/>
          <w:numId w:val="1001"/>
        </w:numPr>
        <w:pStyle w:val="Compact"/>
      </w:pPr>
      <w:r>
        <w:rPr>
          <w:bCs/>
          <w:b/>
        </w:rPr>
        <w:t xml:space="preserve">Client Retention Rate:</w:t>
      </w:r>
      <w:r>
        <w:t xml:space="preserve"> </w:t>
      </w:r>
      <w:r>
        <w:t xml:space="preserve">Maintained an exceptional 87% retention rate, significantly above the national legal services average. This reflects strong trust built by our</w:t>
      </w:r>
      <w:r>
        <w:t xml:space="preserve"> </w:t>
      </w:r>
      <w:r>
        <w:rPr>
          <w:bCs/>
          <w:b/>
        </w:rPr>
        <w:t xml:space="preserve">Lawyer</w:t>
      </w:r>
      <w:r>
        <w:t xml:space="preserve"> </w:t>
      </w:r>
      <w:r>
        <w:t xml:space="preserve">team in navigating complex Riyadh business regulations.</w:t>
      </w:r>
    </w:p>
    <w:p>
      <w:pPr>
        <w:numPr>
          <w:ilvl w:val="0"/>
          <w:numId w:val="1001"/>
        </w:numPr>
        <w:pStyle w:val="Compact"/>
      </w:pPr>
      <w:r>
        <w:rPr>
          <w:bCs/>
          <w:b/>
        </w:rPr>
        <w:t xml:space="preserve">Matter Conversion Rate:</w:t>
      </w:r>
      <w:r>
        <w:t xml:space="preserve"> </w:t>
      </w:r>
      <w:r>
        <w:t xml:space="preserve">Successful conversion of initial consultations to paid retainers increased to 62%, demonstrating effective value proposition communication within the</w:t>
      </w:r>
      <w:r>
        <w:t xml:space="preserve"> </w:t>
      </w:r>
      <w:r>
        <w:rPr>
          <w:bCs/>
          <w:b/>
        </w:rPr>
        <w:t xml:space="preserve">Saudi Arabia Riyadh</w:t>
      </w:r>
      <w:r>
        <w:t xml:space="preserve"> </w:t>
      </w:r>
      <w:r>
        <w:t xml:space="preserve">market.</w:t>
      </w:r>
    </w:p>
    <w:bookmarkEnd w:id="22"/>
    <w:bookmarkStart w:id="23" w:name="X8eff808a8e58c09d4400e24b9981262ec2b40f5"/>
    <w:p>
      <w:pPr>
        <w:pStyle w:val="Heading2"/>
      </w:pPr>
      <w:r>
        <w:t xml:space="preserve">Strategic Focus Areas: Aligning with Riyadh's Legal Market Needs</w:t>
      </w:r>
    </w:p>
    <w:p>
      <w:pPr>
        <w:pStyle w:val="FirstParagraph"/>
      </w:pPr>
      <w:r>
        <w:t xml:space="preserve">This Sales Report identifies three pivotal areas where our firm has excelled in meeting the specific demands of the Riyadh legal market:</w:t>
      </w:r>
    </w:p>
    <w:p>
      <w:pPr>
        <w:numPr>
          <w:ilvl w:val="0"/>
          <w:numId w:val="1002"/>
        </w:numPr>
        <w:pStyle w:val="Compact"/>
      </w:pPr>
      <w:r>
        <w:rPr>
          <w:bCs/>
          <w:b/>
        </w:rPr>
        <w:t xml:space="preserve">Sharia-Compliant Commercial Solutions:</w:t>
      </w:r>
      <w:r>
        <w:t xml:space="preserve"> </w:t>
      </w:r>
      <w:r>
        <w:t xml:space="preserve">Riyadh businesses increasingly seek legal frameworks harmonizing international commercial practices with Islamic finance principles. Our specialized team of</w:t>
      </w:r>
      <w:r>
        <w:t xml:space="preserve"> </w:t>
      </w:r>
      <w:r>
        <w:rPr>
          <w:bCs/>
          <w:b/>
        </w:rPr>
        <w:t xml:space="preserve">Lawyer</w:t>
      </w:r>
      <w:r>
        <w:t xml:space="preserve">s, well-versed in both Saudi laws and global standards, secured 14 major corporate contracts this quarter by offering these tailored solutions. This directly supports Vision 2030's goal of attracting global investment.</w:t>
      </w:r>
    </w:p>
    <w:p>
      <w:pPr>
        <w:numPr>
          <w:ilvl w:val="0"/>
          <w:numId w:val="1002"/>
        </w:numPr>
        <w:pStyle w:val="Compact"/>
      </w:pPr>
      <w:r>
        <w:rPr>
          <w:bCs/>
          <w:b/>
        </w:rPr>
        <w:t xml:space="preserve">Digital Transformation &amp; E-Commerce Compliance:</w:t>
      </w:r>
      <w:r>
        <w:t xml:space="preserve"> </w:t>
      </w:r>
      <w:r>
        <w:t xml:space="preserve">With Riyadh becoming a digital hub, demand surged for legal counsel on data privacy (PDPL), e-commerce regulations, and fintech licensing. Our Sales Report notes a 45% YoY increase in these service requests within Riyadh alone. We successfully positioned our firm as the go-to</w:t>
      </w:r>
      <w:r>
        <w:t xml:space="preserve"> </w:t>
      </w:r>
      <w:r>
        <w:rPr>
          <w:bCs/>
          <w:b/>
        </w:rPr>
        <w:t xml:space="preserve">Lawyer</w:t>
      </w:r>
      <w:r>
        <w:t xml:space="preserve"> </w:t>
      </w:r>
      <w:r>
        <w:t xml:space="preserve">for tech startups and established enterprises navigating this new landscape.</w:t>
      </w:r>
    </w:p>
    <w:p>
      <w:pPr>
        <w:numPr>
          <w:ilvl w:val="0"/>
          <w:numId w:val="1002"/>
        </w:numPr>
        <w:pStyle w:val="Compact"/>
      </w:pPr>
      <w:r>
        <w:rPr>
          <w:bCs/>
          <w:b/>
        </w:rPr>
        <w:t xml:space="preserve">Labor Law &amp; Employment Advisory:</w:t>
      </w:r>
      <w:r>
        <w:t xml:space="preserve"> </w:t>
      </w:r>
      <w:r>
        <w:t xml:space="preserve">As Riyadh's workforce diversifies under Vision 2030, complex expatriate employment issues became a major sales driver. Our Riyadh-based</w:t>
      </w:r>
      <w:r>
        <w:t xml:space="preserve"> </w:t>
      </w:r>
      <w:r>
        <w:rPr>
          <w:bCs/>
          <w:b/>
        </w:rPr>
        <w:t xml:space="preserve">Lawyer</w:t>
      </w:r>
      <w:r>
        <w:t xml:space="preserve">s provided critical services on Saudiization (Nitaqat) compliance and labor dispute resolution, resulting in 18 new annual retainers from large-scale employers in the city.</w:t>
      </w:r>
    </w:p>
    <w:bookmarkEnd w:id="23"/>
    <w:bookmarkStart w:id="24" w:name="X7462b8c7d72d93298e92c94ebc55474a07193c7"/>
    <w:p>
      <w:pPr>
        <w:pStyle w:val="Heading2"/>
      </w:pPr>
      <w:r>
        <w:t xml:space="preserve">Competitive Landscape Analysis within Riyadh</w:t>
      </w:r>
    </w:p>
    <w:p>
      <w:pPr>
        <w:pStyle w:val="FirstParagraph"/>
      </w:pPr>
      <w:r>
        <w:t xml:space="preserve">The Sales Report reveals a highly competitive but evolving legal market in Riyadh. While traditional firms remain strong, our differentiation as a full-service, bilingual (</w:t>
      </w:r>
      <w:r>
        <w:rPr>
          <w:iCs/>
          <w:i/>
        </w:rPr>
        <w:t xml:space="preserve">Arabic/English</w:t>
      </w:r>
      <w:r>
        <w:t xml:space="preserve">) practice with deep local regulatory knowledge has been crucial. We outperformed regional competitors in high-value corporate matters by 18% this quarter. Our Sales Report attributes this success to the consistent quality of our</w:t>
      </w:r>
      <w:r>
        <w:t xml:space="preserve"> </w:t>
      </w:r>
      <w:r>
        <w:rPr>
          <w:bCs/>
          <w:b/>
        </w:rPr>
        <w:t xml:space="preserve">Lawyer</w:t>
      </w:r>
      <w:r>
        <w:t xml:space="preserve"> </w:t>
      </w:r>
      <w:r>
        <w:t xml:space="preserve">team's work and their unique understanding of Riyadh's specific business culture and judicial environment, including familiarity with the Riyadh Commercial Court procedures.</w:t>
      </w:r>
    </w:p>
    <w:bookmarkEnd w:id="24"/>
    <w:bookmarkStart w:id="25" w:name="challenges-strategic-recommendations"/>
    <w:p>
      <w:pPr>
        <w:pStyle w:val="Heading2"/>
      </w:pPr>
      <w:r>
        <w:t xml:space="preserve">Challenges &amp; Strategic Recommendations</w:t>
      </w:r>
    </w:p>
    <w:p>
      <w:pPr>
        <w:pStyle w:val="FirstParagraph"/>
      </w:pPr>
      <w:r>
        <w:t xml:space="preserve">This Sales Report acknowledges key challenges for growth in the Riyadh market:</w:t>
      </w:r>
    </w:p>
    <w:p>
      <w:pPr>
        <w:numPr>
          <w:ilvl w:val="0"/>
          <w:numId w:val="1003"/>
        </w:numPr>
        <w:pStyle w:val="Compact"/>
      </w:pPr>
      <w:r>
        <w:rPr>
          <w:iCs/>
          <w:i/>
        </w:rPr>
        <w:t xml:space="preserve">Intensifying Competition:</w:t>
      </w:r>
      <w:r>
        <w:t xml:space="preserve"> </w:t>
      </w:r>
      <w:r>
        <w:t xml:space="preserve">New international firms are entering the Riyadh market. Recommendation: Accelerate development of specialized practice groups (e.g., Green Energy Law) to capture niche opportunities within Vision 2030 projects.</w:t>
      </w:r>
    </w:p>
    <w:p>
      <w:pPr>
        <w:numPr>
          <w:ilvl w:val="0"/>
          <w:numId w:val="1003"/>
        </w:numPr>
        <w:pStyle w:val="Compact"/>
      </w:pPr>
      <w:r>
        <w:rPr>
          <w:iCs/>
          <w:i/>
        </w:rPr>
        <w:t xml:space="preserve">Client Expectation Shifts:</w:t>
      </w:r>
      <w:r>
        <w:t xml:space="preserve"> </w:t>
      </w:r>
      <w:r>
        <w:t xml:space="preserve">Clients demand faster, more transparent service delivery. Recommendation: Implement a dedicated digital client portal for Riyadh-based clients, enhancing our Sales Report transparency and client satisfaction metrics.</w:t>
      </w:r>
    </w:p>
    <w:p>
      <w:pPr>
        <w:numPr>
          <w:ilvl w:val="0"/>
          <w:numId w:val="1003"/>
        </w:numPr>
        <w:pStyle w:val="Compact"/>
      </w:pPr>
      <w:r>
        <w:rPr>
          <w:iCs/>
          <w:i/>
        </w:rPr>
        <w:t xml:space="preserve">Regulatory Agility:</w:t>
      </w:r>
      <w:r>
        <w:t xml:space="preserve"> </w:t>
      </w:r>
      <w:r>
        <w:t xml:space="preserve">Rapid changes in Saudi legal frameworks require constant adaptation. Recommendation: Increase investment in ongoing Sharia law and Vision 2030 regulatory training for all Riyadh-based</w:t>
      </w:r>
      <w:r>
        <w:t xml:space="preserve"> </w:t>
      </w:r>
      <w:r>
        <w:rPr>
          <w:bCs/>
          <w:b/>
        </w:rPr>
        <w:t xml:space="preserve">Lawyer</w:t>
      </w:r>
      <w:r>
        <w:t xml:space="preserve">s.</w:t>
      </w:r>
    </w:p>
    <w:bookmarkEnd w:id="25"/>
    <w:bookmarkStart w:id="26" w:name="X39413ee703a6cd31328d3474d4282144afa1a8d"/>
    <w:p>
      <w:pPr>
        <w:pStyle w:val="Heading2"/>
      </w:pPr>
      <w:r>
        <w:t xml:space="preserve">Conclusion: Sustained Leadership in Riyadh's Legal Ecosystem</w:t>
      </w:r>
    </w:p>
    <w:p>
      <w:pPr>
        <w:pStyle w:val="FirstParagraph"/>
      </w:pPr>
      <w:r>
        <w:t xml:space="preserve">This comprehensive Sales Report confirms that "Al-Riyadh Legal Counsel" is not only meeting but exceeding strategic objectives within the critical Riyadh market of Saudi Arabia. Our success as a premier</w:t>
      </w:r>
      <w:r>
        <w:t xml:space="preserve"> </w:t>
      </w:r>
      <w:r>
        <w:rPr>
          <w:bCs/>
          <w:b/>
        </w:rPr>
        <w:t xml:space="preserve">Lawyer</w:t>
      </w:r>
      <w:r>
        <w:t xml:space="preserve"> </w:t>
      </w:r>
      <w:r>
        <w:t xml:space="preserve">practice hinges on unwavering commitment to local context, ethical excellence, and proactive adaptation to the Kingdom's evolving legal needs. The data presented demonstrates robust client acquisition and retention rates specifically tied to our Riyadh operations. Moving forward, we will prioritize deepening our market share in strategic sectors like renewable energy and digital economy compliance – areas central to</w:t>
      </w:r>
      <w:r>
        <w:t xml:space="preserve"> </w:t>
      </w:r>
      <w:r>
        <w:rPr>
          <w:bCs/>
          <w:b/>
        </w:rPr>
        <w:t xml:space="preserve">Saudi Arabia</w:t>
      </w:r>
      <w:r>
        <w:t xml:space="preserve">'s future growth, ensuring our Sales Report remains a vital tool for continuous improvement. Our firm's continued leadership as the trusted</w:t>
      </w:r>
      <w:r>
        <w:t xml:space="preserve"> </w:t>
      </w:r>
      <w:r>
        <w:rPr>
          <w:bCs/>
          <w:b/>
        </w:rPr>
        <w:t xml:space="preserve">Lawyer</w:t>
      </w:r>
      <w:r>
        <w:t xml:space="preserve"> </w:t>
      </w:r>
      <w:r>
        <w:t xml:space="preserve">partner of choice in Riyadh is firmly established and poised for further expansion within the Kingdom.</w:t>
      </w:r>
    </w:p>
    <w:p>
      <w:pPr>
        <w:pStyle w:val="BodyText"/>
      </w:pPr>
      <w:r>
        <w:rPr>
          <w:iCs/>
          <w:i/>
        </w:rPr>
        <w:t xml:space="preserve">This Sales Report was compiled by Al-Riyadh Legal Counsel, Riyadh, Saudi Arabia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Riyadh, Saudi Arabia</dc:title>
  <dc:creator/>
  <dc:language>en</dc:language>
  <cp:keywords/>
  <dcterms:created xsi:type="dcterms:W3CDTF">2026-07-23T23:11:28Z</dcterms:created>
  <dcterms:modified xsi:type="dcterms:W3CDTF">2026-07-23T23:11:28Z</dcterms:modified>
</cp:coreProperties>
</file>

<file path=docProps/custom.xml><?xml version="1.0" encoding="utf-8"?>
<Properties xmlns="http://schemas.openxmlformats.org/officeDocument/2006/custom-properties" xmlns:vt="http://schemas.openxmlformats.org/officeDocument/2006/docPropsVTypes"/>
</file>