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bc696b08bfca5370be6b2303e4136c4e032385e"/>
    <w:p>
      <w:pPr>
        <w:pStyle w:val="Heading1"/>
      </w:pPr>
      <w:r>
        <w:t xml:space="preserve">ANNUAL SALES REPORT: LEXINGTON LEGAL PRACTICE</w:t>
      </w:r>
    </w:p>
    <w:bookmarkStart w:id="27" w:name="Xf8c68bed47f8e91316319ff2464343362dd65bb"/>
    <w:p>
      <w:pPr>
        <w:pStyle w:val="Heading2"/>
      </w:pPr>
      <w:r>
        <w:t xml:space="preserve">Serving the Legal Landscape of Singapore Singapore</w:t>
      </w:r>
    </w:p>
    <w:p>
      <w:pPr>
        <w:pStyle w:val="FirstParagraph"/>
      </w:pPr>
      <w:r>
        <w:t xml:space="preserve">Date: October 26, 2023 | Report Period: January 1 - December 31, 2023</w:t>
      </w:r>
    </w:p>
    <w:bookmarkStart w:id="20" w:name="executive-summary"/>
    <w:p>
      <w:pPr>
        <w:pStyle w:val="Heading3"/>
      </w:pPr>
      <w:r>
        <w:t xml:space="preserve">Executive Summary</w:t>
      </w:r>
    </w:p>
    <w:p>
      <w:pPr>
        <w:pStyle w:val="FirstParagraph"/>
      </w:pPr>
      <w:r>
        <w:t xml:space="preserve">This comprehensive Sales Report details the performance of Lexington Legal Practice, a premier law firm operating exclusively within Singapore Singapore since 2008. The report demonstrates exceptional growth in legal service sales, reflecting heightened demand for specialized legal expertise in our dynamic jurisdiction. Our strategic focus on delivering tailored solutions for corporate and individual clients has positioned us as a leading</w:t>
      </w:r>
      <w:r>
        <w:t xml:space="preserve"> </w:t>
      </w:r>
      <w:r>
        <w:rPr>
          <w:iCs/>
          <w:i/>
        </w:rPr>
        <w:t xml:space="preserve">Lawyer</w:t>
      </w:r>
      <w:r>
        <w:t xml:space="preserve"> </w:t>
      </w:r>
      <w:r>
        <w:t xml:space="preserve">provider across Singapore Singapore's commercial ecosystem.</w:t>
      </w:r>
    </w:p>
    <w:bookmarkEnd w:id="20"/>
    <w:bookmarkStart w:id="21" w:name="sales-performance-highlights"/>
    <w:p>
      <w:pPr>
        <w:pStyle w:val="Heading3"/>
      </w:pPr>
      <w:r>
        <w:t xml:space="preserve">Sales Performance Highlights</w:t>
      </w:r>
    </w:p>
    <w:p>
      <w:pPr>
        <w:pStyle w:val="FirstParagraph"/>
      </w:pPr>
      <w:r>
        <w:t xml:space="preserve">The fiscal year 2023 witnessed remarkable achievements, with total revenue reaching SGD 8.7 million – a 27% year-on-year increase from SGD 6.9 million in 2022. This growth was driven by expanded service offerings and strategic market penetration within Singapore Singapore's legal sector. Notably, corporate advisory services contributed the highest revenue share at 41%, followed by dispute resolution (33%) and commercial litigation (26%).</w:t>
      </w:r>
    </w:p>
    <w:p>
      <w:pPr>
        <w:pStyle w:val="BodyText"/>
      </w:pPr>
      <w:r>
        <w:t xml:space="preserve">Service Segment</w:t>
      </w:r>
    </w:p>
    <w:p>
      <w:pPr>
        <w:pStyle w:val="BodyText"/>
      </w:pPr>
      <w:r>
        <w:t xml:space="preserve">2023 Revenue (SGD)</w:t>
      </w:r>
    </w:p>
    <w:p>
      <w:pPr>
        <w:pStyle w:val="BodyText"/>
      </w:pPr>
      <w:r>
        <w:t xml:space="preserve">% of Total</w:t>
      </w:r>
    </w:p>
    <w:p>
      <w:pPr>
        <w:pStyle w:val="BodyText"/>
      </w:pPr>
      <w:r>
        <w:t xml:space="preserve">Growth vs 2022</w:t>
      </w:r>
    </w:p>
    <w:p>
      <w:pPr>
        <w:pStyle w:val="BodyText"/>
      </w:pPr>
      <w:r>
        <w:t xml:space="preserve">Corporate Advisory &amp; M&amp;A</w:t>
      </w:r>
    </w:p>
    <w:p>
      <w:pPr>
        <w:pStyle w:val="BodyText"/>
      </w:pPr>
      <w:r>
        <w:t xml:space="preserve">3,567,000</w:t>
      </w:r>
    </w:p>
    <w:p>
      <w:pPr>
        <w:pStyle w:val="BodyText"/>
      </w:pPr>
      <w:r>
        <w:t xml:space="preserve">41%</w:t>
      </w:r>
    </w:p>
    <w:p>
      <w:pPr>
        <w:pStyle w:val="BodyText"/>
      </w:pPr>
      <w:r>
        <w:t xml:space="preserve">+34%</w:t>
      </w:r>
    </w:p>
    <w:p>
      <w:pPr>
        <w:pStyle w:val="BodyText"/>
      </w:pPr>
      <w:r>
        <w:t xml:space="preserve">Commercial Litigation</w:t>
      </w:r>
    </w:p>
    <w:p>
      <w:pPr>
        <w:pStyle w:val="BodyText"/>
      </w:pPr>
      <w:r>
        <w:t xml:space="preserve">2,262,000</w:t>
      </w:r>
    </w:p>
    <w:p>
      <w:pPr>
        <w:pStyle w:val="BodyText"/>
      </w:pPr>
      <w:r>
        <w:t xml:space="preserve">26%</w:t>
      </w:r>
    </w:p>
    <w:p>
      <w:pPr>
        <w:pStyle w:val="BodyText"/>
      </w:pPr>
      <w:r>
        <w:t xml:space="preserve">+18%</w:t>
      </w:r>
    </w:p>
    <w:p>
      <w:pPr>
        <w:pStyle w:val="BodyText"/>
      </w:pPr>
      <w:r>
        <w:t xml:space="preserve">Dispute Resolution &amp; Arbitration</w:t>
      </w:r>
    </w:p>
    <w:p>
      <w:pPr>
        <w:pStyle w:val="BodyText"/>
      </w:pPr>
      <w:r>
        <w:t xml:space="preserve">2,871,000</w:t>
      </w:r>
    </w:p>
    <w:p>
      <w:pPr>
        <w:pStyle w:val="BodyText"/>
      </w:pPr>
      <w:r>
        <w:t xml:space="preserve">33%</w:t>
      </w:r>
    </w:p>
    <w:p>
      <w:pPr>
        <w:pStyle w:val="BodyText"/>
      </w:pPr>
      <w:r>
        <w:t xml:space="preserve">+49%</w:t>
      </w:r>
    </w:p>
    <w:p>
      <w:pPr>
        <w:pStyle w:val="BodyText"/>
      </w:pPr>
      <w:r>
        <w:t xml:space="preserve">Total Revenue</w:t>
      </w:r>
    </w:p>
    <w:p>
      <w:pPr>
        <w:pStyle w:val="BodyText"/>
      </w:pPr>
      <w:r>
        <w:t xml:space="preserve">8,700,000</w:t>
      </w:r>
    </w:p>
    <w:p>
      <w:pPr>
        <w:pStyle w:val="BodyText"/>
      </w:pPr>
      <w:r>
        <w:t xml:space="preserve">100%</w:t>
      </w:r>
    </w:p>
    <w:p>
      <w:pPr>
        <w:pStyle w:val="BodyText"/>
      </w:pPr>
      <w:r>
        <w:t xml:space="preserve">+27%</w:t>
      </w:r>
    </w:p>
    <w:bookmarkEnd w:id="21"/>
    <w:bookmarkStart w:id="22" w:name="Xc314d532761978de021934e7feb10822f6f94ce"/>
    <w:p>
      <w:pPr>
        <w:pStyle w:val="Heading3"/>
      </w:pPr>
      <w:r>
        <w:t xml:space="preserve">Market Analysis: Singapore Singapore's Legal Demand</w:t>
      </w:r>
    </w:p>
    <w:p>
      <w:pPr>
        <w:pStyle w:val="FirstParagraph"/>
      </w:pPr>
      <w:r>
        <w:t xml:space="preserve">The surge in sales directly correlates with Singapore Singapore's status as Asia's premier business hub. Our data reveals that 82% of new clients in 2023 were multinational corporations establishing regional headquarters or expanding operations within the jurisdiction. This aligns with the Monetary Authority of Singapore's (MAS) 15% year-on-year increase in foreign direct investment during our reporting period.</w:t>
      </w:r>
    </w:p>
    <w:p>
      <w:pPr>
        <w:pStyle w:val="BodyText"/>
      </w:pPr>
      <w:r>
        <w:t xml:space="preserve">Crucially, demand for specialized</w:t>
      </w:r>
      <w:r>
        <w:t xml:space="preserve"> </w:t>
      </w:r>
      <w:r>
        <w:rPr>
          <w:iCs/>
          <w:i/>
        </w:rPr>
        <w:t xml:space="preserve">Lawyer</w:t>
      </w:r>
      <w:r>
        <w:t xml:space="preserve"> </w:t>
      </w:r>
      <w:r>
        <w:t xml:space="preserve">services has evolved beyond traditional corporate needs. The emergence of Singapore Singapore's fintech regulatory sandbox and new data protection laws (PDPA Amendments 2022) created unprecedented opportunities in compliance advisory. Our firm captured 37% of this emerging market segment – a position we attribute to our dedicated Regulatory Technology Practice launched in Q3 2022.</w:t>
      </w:r>
    </w:p>
    <w:bookmarkEnd w:id="22"/>
    <w:bookmarkStart w:id="23" w:name="Xa63fab5e94d5f5d44d90bd5ce4e169f032f2d39"/>
    <w:p>
      <w:pPr>
        <w:pStyle w:val="Heading3"/>
      </w:pPr>
      <w:r>
        <w:t xml:space="preserve">Client Acquisition Strategy &amp; Singapore Singapore Focus</w:t>
      </w:r>
    </w:p>
    <w:p>
      <w:pPr>
        <w:pStyle w:val="FirstParagraph"/>
      </w:pPr>
      <w:r>
        <w:t xml:space="preserve">Our sales approach centers on hyper-localized understanding of Singapore Singapore's legal ecosystem. Unlike offshore firms, Lexington Legal maintains all practice teams within the jurisdiction, enabling immediate response to local regulatory shifts. This strategy yielded a 31% client retention rate – significantly above the industry average of 22%.</w:t>
      </w:r>
    </w:p>
    <w:p>
      <w:pPr>
        <w:pStyle w:val="BodyText"/>
      </w:pPr>
      <w:r>
        <w:t xml:space="preserve">Key acquisition channels included:</w:t>
      </w:r>
    </w:p>
    <w:p>
      <w:pPr>
        <w:numPr>
          <w:ilvl w:val="0"/>
          <w:numId w:val="1001"/>
        </w:numPr>
        <w:pStyle w:val="Compact"/>
      </w:pPr>
      <w:r>
        <w:rPr>
          <w:bCs/>
          <w:b/>
        </w:rPr>
        <w:t xml:space="preserve">Industry Partnerships:</w:t>
      </w:r>
      <w:r>
        <w:t xml:space="preserve"> </w:t>
      </w:r>
      <w:r>
        <w:t xml:space="preserve">Strategic alliances with Singapore Business Federation and SGX (Singapore Exchange) drove 42% of new corporate clients</w:t>
      </w:r>
    </w:p>
    <w:p>
      <w:pPr>
        <w:numPr>
          <w:ilvl w:val="0"/>
          <w:numId w:val="1001"/>
        </w:numPr>
        <w:pStyle w:val="Compact"/>
      </w:pPr>
      <w:r>
        <w:rPr>
          <w:bCs/>
          <w:b/>
        </w:rPr>
        <w:t xml:space="preserve">Singapore Singapore Legal Workshops:</w:t>
      </w:r>
      <w:r>
        <w:t xml:space="preserve"> </w:t>
      </w:r>
      <w:r>
        <w:t xml:space="preserve">Quarterly seminars on emerging regulations attracted 187 high-value leads (37% conversion rate)</w:t>
      </w:r>
    </w:p>
    <w:p>
      <w:pPr>
        <w:numPr>
          <w:ilvl w:val="0"/>
          <w:numId w:val="1001"/>
        </w:numPr>
        <w:pStyle w:val="Compact"/>
      </w:pPr>
      <w:r>
        <w:rPr>
          <w:bCs/>
          <w:b/>
        </w:rPr>
        <w:t xml:space="preserve">Referral Network:</w:t>
      </w:r>
      <w:r>
        <w:t xml:space="preserve"> </w:t>
      </w:r>
      <w:r>
        <w:t xml:space="preserve">Strong relationships with accountants at BDO and PwC in Singapore Singapore generated consistent quality leads</w:t>
      </w:r>
    </w:p>
    <w:bookmarkEnd w:id="23"/>
    <w:bookmarkStart w:id="24" w:name="Xe832c6d04f3f52733c19bbc35a22f48b22d2d43"/>
    <w:p>
      <w:pPr>
        <w:pStyle w:val="Heading3"/>
      </w:pPr>
      <w:r>
        <w:t xml:space="preserve">Competitive Differentiation in Singapore Singapore</w:t>
      </w:r>
    </w:p>
    <w:p>
      <w:pPr>
        <w:pStyle w:val="FirstParagraph"/>
      </w:pPr>
      <w:r>
        <w:t xml:space="preserve">In the crowded legal market of Singapore Singapore, our sales success stems from two strategic imperatives:</w:t>
      </w:r>
    </w:p>
    <w:p>
      <w:pPr>
        <w:numPr>
          <w:ilvl w:val="0"/>
          <w:numId w:val="1002"/>
        </w:numPr>
        <w:pStyle w:val="Compact"/>
      </w:pPr>
      <w:r>
        <w:rPr>
          <w:bCs/>
          <w:b/>
        </w:rPr>
        <w:t xml:space="preserve">Localized Expertise:</w:t>
      </w:r>
      <w:r>
        <w:t xml:space="preserve"> </w:t>
      </w:r>
      <w:r>
        <w:t xml:space="preserve">All practitioners maintain active memberships with the Law Society of Singapore and regularly contribute to statutory committees – a critical differentiator for clients requiring government liaison</w:t>
      </w:r>
    </w:p>
    <w:p>
      <w:pPr>
        <w:numPr>
          <w:ilvl w:val="0"/>
          <w:numId w:val="1002"/>
        </w:numPr>
        <w:pStyle w:val="Compact"/>
      </w:pPr>
      <w:r>
        <w:rPr>
          <w:bCs/>
          <w:b/>
        </w:rPr>
        <w:t xml:space="preserve">Predictive Legal Advisory:</w:t>
      </w:r>
      <w:r>
        <w:t xml:space="preserve"> </w:t>
      </w:r>
      <w:r>
        <w:t xml:space="preserve">Our proprietary "Singapore Singapore Regulatory Compass" tool identifies emerging compliance needs 6-8 months before enforcement, positioning us as proactive partners rather than reactive</w:t>
      </w:r>
      <w:r>
        <w:t xml:space="preserve"> </w:t>
      </w:r>
      <w:r>
        <w:rPr>
          <w:iCs/>
          <w:i/>
        </w:rPr>
        <w:t xml:space="preserve">Lawyer</w:t>
      </w:r>
      <w:r>
        <w:t xml:space="preserve">s</w:t>
      </w:r>
    </w:p>
    <w:bookmarkEnd w:id="24"/>
    <w:bookmarkStart w:id="25" w:name="X09d3c3956a09e63fed24a07c53d428279d8034b"/>
    <w:p>
      <w:pPr>
        <w:pStyle w:val="Heading3"/>
      </w:pPr>
      <w:r>
        <w:t xml:space="preserve">Challenges &amp; Strategic Opportunities in Singapore Singapore</w:t>
      </w:r>
    </w:p>
    <w:p>
      <w:pPr>
        <w:pStyle w:val="FirstParagraph"/>
      </w:pPr>
      <w:r>
        <w:t xml:space="preserve">Despite robust growth, we identified two key challenges requiring strategic adjustment:</w:t>
      </w:r>
    </w:p>
    <w:p>
      <w:pPr>
        <w:numPr>
          <w:ilvl w:val="0"/>
          <w:numId w:val="1003"/>
        </w:numPr>
        <w:pStyle w:val="Compact"/>
      </w:pPr>
      <w:r>
        <w:rPr>
          <w:iCs/>
          <w:i/>
        </w:rPr>
        <w:t xml:space="preserve">Competitive Pressure:</w:t>
      </w:r>
      <w:r>
        <w:t xml:space="preserve"> </w:t>
      </w:r>
      <w:r>
        <w:t xml:space="preserve">Rising competition from regional firms (e.g., Singapore Singapore-based A&amp;O Shearman) necessitated enhanced service bundling</w:t>
      </w:r>
    </w:p>
    <w:p>
      <w:pPr>
        <w:numPr>
          <w:ilvl w:val="0"/>
          <w:numId w:val="1003"/>
        </w:numPr>
        <w:pStyle w:val="Compact"/>
      </w:pPr>
      <w:r>
        <w:rPr>
          <w:iCs/>
          <w:i/>
        </w:rPr>
        <w:t xml:space="preserve">Talent Acquisition:</w:t>
      </w:r>
      <w:r>
        <w:t xml:space="preserve"> </w:t>
      </w:r>
      <w:r>
        <w:t xml:space="preserve">Shortage of mid-level lawyers with both technical expertise and local market fluency limited growth velocity</w:t>
      </w:r>
    </w:p>
    <w:p>
      <w:pPr>
        <w:pStyle w:val="FirstParagraph"/>
      </w:pPr>
      <w:r>
        <w:t xml:space="preserve">To address these, our 2024 strategy focuses on:</w:t>
      </w:r>
    </w:p>
    <w:p>
      <w:pPr>
        <w:numPr>
          <w:ilvl w:val="0"/>
          <w:numId w:val="1004"/>
        </w:numPr>
        <w:pStyle w:val="Compact"/>
      </w:pPr>
      <w:r>
        <w:t xml:space="preserve">Launching "Singapore Singapore Legal Accelerator" – a co-branded training program with NUS Law School</w:t>
      </w:r>
    </w:p>
    <w:p>
      <w:pPr>
        <w:numPr>
          <w:ilvl w:val="0"/>
          <w:numId w:val="1004"/>
        </w:numPr>
        <w:pStyle w:val="Compact"/>
      </w:pPr>
      <w:r>
        <w:t xml:space="preserve">Developing AI-powered contract analysis tools tailored for Singaporean commercial templates</w:t>
      </w:r>
    </w:p>
    <w:p>
      <w:pPr>
        <w:numPr>
          <w:ilvl w:val="0"/>
          <w:numId w:val="1004"/>
        </w:numPr>
        <w:pStyle w:val="Compact"/>
      </w:pPr>
      <w:r>
        <w:t xml:space="preserve">Expanding into underserved sectors: sustainable finance compliance and cross-border digital asset regulation (aligned with Singapore Singapore's Project Guardian)</w:t>
      </w:r>
    </w:p>
    <w:bookmarkEnd w:id="25"/>
    <w:bookmarkStart w:id="26" w:name="Xe70610e53cd95138e6e001a485881af9053f793"/>
    <w:p>
      <w:pPr>
        <w:pStyle w:val="Heading3"/>
      </w:pPr>
      <w:r>
        <w:t xml:space="preserve">Conclusion: The Path Forward in Singapore Singapore</w:t>
      </w:r>
    </w:p>
    <w:p>
      <w:pPr>
        <w:pStyle w:val="FirstParagraph"/>
      </w:pPr>
      <w:r>
        <w:t xml:space="preserve">This Sales Report unequivocally demonstrates Lexington Legal Practice's leadership in delivering results-driven legal solutions within the intricate landscape of Singapore Singapore. Our 27% revenue growth reflects not just market expansion, but a fundamental shift toward value-based pricing for sophisticated corporate clients who understand that choosing a local</w:t>
      </w:r>
      <w:r>
        <w:t xml:space="preserve"> </w:t>
      </w:r>
      <w:r>
        <w:rPr>
          <w:iCs/>
          <w:i/>
        </w:rPr>
        <w:t xml:space="preserve">Lawyer</w:t>
      </w:r>
      <w:r>
        <w:t xml:space="preserve"> </w:t>
      </w:r>
      <w:r>
        <w:t xml:space="preserve">is strategic business imperative.</w:t>
      </w:r>
    </w:p>
    <w:p>
      <w:pPr>
        <w:pStyle w:val="BodyText"/>
      </w:pPr>
      <w:r>
        <w:t xml:space="preserve">We project 2024 revenue to reach SGD 11.3 million through our Singapore Singapore-focused initiatives. As the legal market evolves, our commitment remains steadfast: to be the most trusted legal partner for businesses navigating Singapore's dynamic regulatory environment. The success of this Sales Report affirms that in today's complex commercial world, understanding</w:t>
      </w:r>
      <w:r>
        <w:t xml:space="preserve"> </w:t>
      </w:r>
      <w:r>
        <w:rPr>
          <w:iCs/>
          <w:i/>
        </w:rPr>
        <w:t xml:space="preserve">Singapore Singapore</w:t>
      </w:r>
      <w:r>
        <w:t xml:space="preserve"> </w:t>
      </w:r>
      <w:r>
        <w:t xml:space="preserve">– not just its laws but its business culture and future trajectory – is the ultimate competitive advantage.</w:t>
      </w:r>
    </w:p>
    <w:p>
      <w:pPr>
        <w:pStyle w:val="BodyText"/>
      </w:pPr>
      <w:r>
        <w:rPr>
          <w:bCs/>
          <w:b/>
        </w:rPr>
        <w:t xml:space="preserve">Prepared by:</w:t>
      </w:r>
      <w:r>
        <w:br/>
      </w:r>
      <w:r>
        <w:t xml:space="preserve">Liam Tan, Director of Business Development</w:t>
      </w:r>
      <w:r>
        <w:br/>
      </w:r>
      <w:r>
        <w:t xml:space="preserve">Lexington Legal Practice | Singapore Singapore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in Singapore Singapore</dc:title>
  <dc:creator/>
  <dc:language>en</dc:language>
  <cp:keywords/>
  <dcterms:created xsi:type="dcterms:W3CDTF">2026-07-24T07:18:25Z</dcterms:created>
  <dcterms:modified xsi:type="dcterms:W3CDTF">2026-07-24T07:18:25Z</dcterms:modified>
</cp:coreProperties>
</file>

<file path=docProps/custom.xml><?xml version="1.0" encoding="utf-8"?>
<Properties xmlns="http://schemas.openxmlformats.org/officeDocument/2006/custom-properties" xmlns:vt="http://schemas.openxmlformats.org/officeDocument/2006/docPropsVTypes"/>
</file>