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Premier</w:t>
      </w:r>
      <w:r>
        <w:t xml:space="preserve"> </w:t>
      </w:r>
      <w:r>
        <w:t xml:space="preserve">Legal</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012265e2b0473adbe5260aa2d4e47cf3267ea26"/>
    <w:p>
      <w:pPr>
        <w:pStyle w:val="Heading1"/>
      </w:pPr>
      <w:r>
        <w:t xml:space="preserve">Q4 2023 Sales Performance Report: Legal Services Revenue Analysis for Leading Law Firm in South Korea Seoul</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Team, Global Legal Partners (Seoul Office)</w:t>
      </w:r>
      <w:r>
        <w:br/>
      </w:r>
      <w:r>
        <w:rPr>
          <w:bCs/>
          <w:b/>
        </w:rPr>
        <w:t xml:space="preserve">Reporting Period:</w:t>
      </w:r>
      <w:r>
        <w:t xml:space="preserve"> </w:t>
      </w:r>
      <w:r>
        <w:t xml:space="preserve">October 1, 2023 – December 31, 2023</w:t>
      </w:r>
      <w:r>
        <w:br/>
      </w:r>
      <w:r>
        <w:rPr>
          <w:bCs/>
          <w:b/>
        </w:rPr>
        <w:t xml:space="preserve">Document Type:</w:t>
      </w:r>
      <w:r>
        <w:t xml:space="preserve"> </w:t>
      </w:r>
      <w:r>
        <w:t xml:space="preserve">Official Sales Performance Report</w:t>
      </w:r>
    </w:p>
    <w:bookmarkStart w:id="20" w:name="i.-executive-summary"/>
    <w:p>
      <w:pPr>
        <w:pStyle w:val="Heading2"/>
      </w:pPr>
      <w:r>
        <w:t xml:space="preserve">I. Executive Summary</w:t>
      </w:r>
    </w:p>
    <w:p>
      <w:pPr>
        <w:pStyle w:val="FirstParagraph"/>
      </w:pPr>
      <w:r>
        <w:t xml:space="preserve">This comprehensive Sales Report details the Q4 2023 revenue performance of our legal practice within South Korea Seoul, affirming sustained market leadership in high-stakes legal services. Despite a challenging macroeconomic environment in South Korea, the Seoul office achieved a 17.3% year-over-year increase in total billable revenue, reaching KRW 148.2 billion (USD $108 million). This growth underscores the critical demand for specialized</w:t>
      </w:r>
      <w:r>
        <w:t xml:space="preserve"> </w:t>
      </w:r>
      <w:r>
        <w:rPr>
          <w:iCs/>
          <w:i/>
        </w:rPr>
        <w:t xml:space="preserve">lawyer</w:t>
      </w:r>
      <w:r>
        <w:t xml:space="preserve"> </w:t>
      </w:r>
      <w:r>
        <w:t xml:space="preserve">expertise across Seoul's corporate, commercial, and litigation sectors. The report analyzes service line performance, client acquisition metrics, and strategic initiatives directly contributing to this success within South Korea's most dynamic legal market—Seoul.</w:t>
      </w:r>
    </w:p>
    <w:bookmarkEnd w:id="20"/>
    <w:bookmarkStart w:id="21" w:name="Xf80639896d20df61486dd53e9efa7ffd2dd7dd3"/>
    <w:p>
      <w:pPr>
        <w:pStyle w:val="Heading2"/>
      </w:pPr>
      <w:r>
        <w:t xml:space="preserve">II. Market Context: South Korea Seoul Legal Landscape</w:t>
      </w:r>
    </w:p>
    <w:p>
      <w:pPr>
        <w:pStyle w:val="FirstParagraph"/>
      </w:pPr>
      <w:r>
        <w:t xml:space="preserve">Seoul remains the undisputed epicenter of South Korea's legal and commercial activity, housing 78% of the nation's top law firms and hosting all 15 Supreme Court cases involving multinational corporations annually. The Q4 market saw heightened demand for:</w:t>
      </w:r>
    </w:p>
    <w:p>
      <w:pPr>
        <w:numPr>
          <w:ilvl w:val="0"/>
          <w:numId w:val="1001"/>
        </w:numPr>
        <w:pStyle w:val="Compact"/>
      </w:pPr>
      <w:r>
        <w:t xml:space="preserve">Intellectual property litigation (23% YoY surge) driven by tech sector growth</w:t>
      </w:r>
    </w:p>
    <w:p>
      <w:pPr>
        <w:numPr>
          <w:ilvl w:val="0"/>
          <w:numId w:val="1001"/>
        </w:numPr>
        <w:pStyle w:val="Compact"/>
      </w:pPr>
      <w:r>
        <w:t xml:space="preserve">Cross-border M&amp;A advisory (31% increase) amid South Korea's new foreign investment incentives</w:t>
      </w:r>
    </w:p>
    <w:p>
      <w:pPr>
        <w:numPr>
          <w:ilvl w:val="0"/>
          <w:numId w:val="1001"/>
        </w:numPr>
        <w:pStyle w:val="Compact"/>
      </w:pPr>
      <w:r>
        <w:t xml:space="preserve">Compliance services (19% rise) following updated FCPA and data privacy regulations</w:t>
      </w:r>
    </w:p>
    <w:p>
      <w:pPr>
        <w:pStyle w:val="FirstParagraph"/>
      </w:pPr>
      <w:r>
        <w:t xml:space="preserve">This environment directly fuels our</w:t>
      </w:r>
      <w:r>
        <w:t xml:space="preserve"> </w:t>
      </w:r>
      <w:r>
        <w:rPr>
          <w:iCs/>
          <w:i/>
        </w:rPr>
        <w:t xml:space="preserve">lawyer</w:t>
      </w:r>
      <w:r>
        <w:t xml:space="preserve">-led service delivery model, where Seoul-based legal teams leverage deep local market intelligence to secure premium engagements.</w:t>
      </w:r>
    </w:p>
    <w:bookmarkEnd w:id="21"/>
    <w:bookmarkStart w:id="24" w:name="X615b9c3c4c1ccbf6e85cda5805e4d672d3785ca"/>
    <w:p>
      <w:pPr>
        <w:pStyle w:val="Heading2"/>
      </w:pPr>
      <w:r>
        <w:t xml:space="preserve">III. Service Line Performance Analysis (South Korea Seoul)</w:t>
      </w:r>
    </w:p>
    <w:bookmarkStart w:id="22" w:name="a.-core-revenue-streams"/>
    <w:p>
      <w:pPr>
        <w:pStyle w:val="Heading3"/>
      </w:pPr>
      <w:r>
        <w:t xml:space="preserve">A. Core Revenue Streams</w:t>
      </w:r>
    </w:p>
    <w:p>
      <w:pPr>
        <w:pStyle w:val="FirstParagraph"/>
      </w:pPr>
      <w:r>
        <w:t xml:space="preserve">Service Area</w:t>
      </w:r>
    </w:p>
    <w:p>
      <w:pPr>
        <w:pStyle w:val="BodyText"/>
      </w:pPr>
      <w:r>
        <w:t xml:space="preserve">Q4 2023 Revenue (KRW)</w:t>
      </w:r>
    </w:p>
    <w:p>
      <w:pPr>
        <w:pStyle w:val="BodyText"/>
      </w:pPr>
      <w:r>
        <w:t xml:space="preserve">% of Total Revenue</w:t>
      </w:r>
    </w:p>
    <w:p>
      <w:pPr>
        <w:pStyle w:val="BodyText"/>
      </w:pPr>
      <w:r>
        <w:t xml:space="preserve">YoY Change</w:t>
      </w:r>
    </w:p>
    <w:p>
      <w:pPr>
        <w:pStyle w:val="BodyText"/>
      </w:pPr>
      <w:r>
        <w:t xml:space="preserve">Commercial Litigation (Seoul Courts)</w:t>
      </w:r>
    </w:p>
    <w:p>
      <w:pPr>
        <w:pStyle w:val="BodyText"/>
      </w:pPr>
      <w:r>
        <w:t xml:space="preserve">58,100,000,000</w:t>
      </w:r>
    </w:p>
    <w:p>
      <w:pPr>
        <w:pStyle w:val="BodyText"/>
      </w:pPr>
      <w:r>
        <w:t xml:space="preserve">39.2%</w:t>
      </w:r>
    </w:p>
    <w:p>
      <w:pPr>
        <w:pStyle w:val="BodyText"/>
      </w:pPr>
      <w:r>
        <w:t xml:space="preserve">+21.7%</w:t>
      </w:r>
    </w:p>
    <w:p>
      <w:pPr>
        <w:pStyle w:val="BodyText"/>
      </w:pPr>
      <w:r>
        <w:t xml:space="preserve">M&amp;A Advisory (Korean-International Deals)</w:t>
      </w:r>
    </w:p>
    <w:p>
      <w:pPr>
        <w:pStyle w:val="BodyText"/>
      </w:pPr>
      <w:r>
        <w:t xml:space="preserve">42,750,000,000</w:t>
      </w:r>
    </w:p>
    <w:p>
      <w:pPr>
        <w:pStyle w:val="BodyText"/>
      </w:pPr>
      <w:r>
        <w:t xml:space="preserve">28.8%</w:t>
      </w:r>
    </w:p>
    <w:p>
      <w:pPr>
        <w:pStyle w:val="BodyText"/>
      </w:pPr>
      <w:r>
        <w:t xml:space="preserve">Total Commercial Revenue</w:t>
      </w:r>
    </w:p>
    <w:p>
      <w:pPr>
        <w:pStyle w:val="BodyText"/>
      </w:pPr>
      <w:r>
        <w:t xml:space="preserve">136,957,935</w:t>
      </w:r>
    </w:p>
    <w:p>
      <w:pPr>
        <w:pStyle w:val="BodyText"/>
      </w:pPr>
      <w:r>
        <w:t xml:space="preserve">92.4%</w:t>
      </w:r>
    </w:p>
    <w:p>
      <w:pPr>
        <w:pStyle w:val="BodyText"/>
      </w:pPr>
      <w:r>
        <w:t xml:space="preserve">The Commercial Litigation division—primarily serving Seoul-based conglomerates (chaebols) and foreign entities operating in South Korea—generated the highest revenue. Key cases included a landmark data breach lawsuit against a major Seoul fintech firm and intellectual property disputes for Samsung Electronics’ new semiconductor division. Our</w:t>
      </w:r>
      <w:r>
        <w:t xml:space="preserve"> </w:t>
      </w:r>
      <w:r>
        <w:rPr>
          <w:iCs/>
          <w:i/>
        </w:rPr>
        <w:t xml:space="preserve">lawyer</w:t>
      </w:r>
      <w:r>
        <w:t xml:space="preserve"> </w:t>
      </w:r>
      <w:r>
        <w:t xml:space="preserve">team's deep familiarity with Seoul District Court procedures was cited by 92% of clients as critical to case outcomes.</w:t>
      </w:r>
    </w:p>
    <w:bookmarkEnd w:id="22"/>
    <w:bookmarkStart w:id="23" w:name="b.-emerging-high-growth-segments"/>
    <w:p>
      <w:pPr>
        <w:pStyle w:val="Heading3"/>
      </w:pPr>
      <w:r>
        <w:t xml:space="preserve">B. Emerging High-Growth Segments</w:t>
      </w:r>
    </w:p>
    <w:p>
      <w:pPr>
        <w:pStyle w:val="FirstParagraph"/>
      </w:pPr>
      <w:r>
        <w:t xml:space="preserve">Growth in specialized services directly aligns with South Korea’s strategic priorities:</w:t>
      </w:r>
    </w:p>
    <w:p>
      <w:pPr>
        <w:numPr>
          <w:ilvl w:val="0"/>
          <w:numId w:val="1002"/>
        </w:numPr>
        <w:pStyle w:val="Compact"/>
      </w:pPr>
      <w:r>
        <w:rPr>
          <w:bCs/>
          <w:b/>
        </w:rPr>
        <w:t xml:space="preserve">ESG Compliance Services:</w:t>
      </w:r>
      <w:r>
        <w:t xml:space="preserve"> </w:t>
      </w:r>
      <w:r>
        <w:t xml:space="preserve">Revenue surged 68% as Seoul businesses prepare for mandatory ESG disclosures by 2025. Our Seoul office became the first to offer integrated ESG risk audits under Korean Financial Services Commission guidelines.</w:t>
      </w:r>
    </w:p>
    <w:p>
      <w:pPr>
        <w:numPr>
          <w:ilvl w:val="0"/>
          <w:numId w:val="1002"/>
        </w:numPr>
        <w:pStyle w:val="Compact"/>
      </w:pPr>
      <w:r>
        <w:rPr>
          <w:bCs/>
          <w:b/>
        </w:rPr>
        <w:t xml:space="preserve">Korean-Foreign Joint Venture Structuring:</w:t>
      </w:r>
      <w:r>
        <w:t xml:space="preserve"> </w:t>
      </w:r>
      <w:r>
        <w:t xml:space="preserve">41 new engagements with international firms establishing operations in Gangnam District, driven by Seoul's "Seoul Tech Hub" initiative.</w:t>
      </w:r>
    </w:p>
    <w:p>
      <w:pPr>
        <w:numPr>
          <w:ilvl w:val="0"/>
          <w:numId w:val="1002"/>
        </w:numPr>
        <w:pStyle w:val="Compact"/>
      </w:pPr>
      <w:r>
        <w:rPr>
          <w:bCs/>
          <w:b/>
        </w:rPr>
        <w:t xml:space="preserve">Cybersecurity Incident Response:</w:t>
      </w:r>
      <w:r>
        <w:t xml:space="preserve"> </w:t>
      </w:r>
      <w:r>
        <w:t xml:space="preserve">33% of new client acquisitions in Q4 related to cyber incident management—critical for Seoul’s tech startups and financial institutions.</w:t>
      </w:r>
    </w:p>
    <w:bookmarkEnd w:id="23"/>
    <w:bookmarkEnd w:id="24"/>
    <w:bookmarkStart w:id="25" w:name="X2ab9db651f15e75571bb873e5a39c58d43f02d2"/>
    <w:p>
      <w:pPr>
        <w:pStyle w:val="Heading2"/>
      </w:pPr>
      <w:r>
        <w:t xml:space="preserve">IV. Client Acquisition &amp; Retention (South Korea Seoul Focus)</w:t>
      </w:r>
    </w:p>
    <w:p>
      <w:pPr>
        <w:pStyle w:val="FirstParagraph"/>
      </w:pPr>
      <w:r>
        <w:t xml:space="preserve">The Sales Report confirms that 76% of new clients in Seoul were acquired through referrals from existing high-value corporate clients, reflecting the premium trust placed in our</w:t>
      </w:r>
      <w:r>
        <w:t xml:space="preserve"> </w:t>
      </w:r>
      <w:r>
        <w:rPr>
          <w:iCs/>
          <w:i/>
        </w:rPr>
        <w:t xml:space="preserve">lawyer</w:t>
      </w:r>
      <w:r>
        <w:t xml:space="preserve"> </w:t>
      </w:r>
      <w:r>
        <w:t xml:space="preserve">team's expertise. Notable wins included:</w:t>
      </w:r>
    </w:p>
    <w:p>
      <w:pPr>
        <w:numPr>
          <w:ilvl w:val="0"/>
          <w:numId w:val="1003"/>
        </w:numPr>
        <w:pStyle w:val="Compact"/>
      </w:pPr>
      <w:r>
        <w:rPr>
          <w:bCs/>
          <w:b/>
        </w:rPr>
        <w:t xml:space="preserve">Samsung Electronics:</w:t>
      </w:r>
      <w:r>
        <w:t xml:space="preserve"> </w:t>
      </w:r>
      <w:r>
        <w:t xml:space="preserve">Retained as primary counsel for all legal operations in South Korea Seoul after securing a KRW 85 billion settlement in antitrust litigation.</w:t>
      </w:r>
    </w:p>
    <w:p>
      <w:pPr>
        <w:numPr>
          <w:ilvl w:val="0"/>
          <w:numId w:val="1003"/>
        </w:numPr>
        <w:pStyle w:val="Compact"/>
      </w:pPr>
      <w:r>
        <w:rPr>
          <w:bCs/>
          <w:b/>
        </w:rPr>
        <w:t xml:space="preserve">Morgan Stanley Asia (Seoul Office):</w:t>
      </w:r>
      <w:r>
        <w:t xml:space="preserve"> </w:t>
      </w:r>
      <w:r>
        <w:t xml:space="preserve">Secured multi-year M&amp;A mandate following our successful handling of their acquisition of a Seoul-based biotech firm.</w:t>
      </w:r>
    </w:p>
    <w:p>
      <w:pPr>
        <w:numPr>
          <w:ilvl w:val="0"/>
          <w:numId w:val="1003"/>
        </w:numPr>
        <w:pStyle w:val="Compact"/>
      </w:pPr>
      <w:r>
        <w:rPr>
          <w:bCs/>
          <w:b/>
        </w:rPr>
        <w:t xml:space="preserve">Global Retail Chain:</w:t>
      </w:r>
      <w:r>
        <w:t xml:space="preserve"> </w:t>
      </w:r>
      <w:r>
        <w:t xml:space="preserve">Onboarded to manage Seoul-specific compliance across 27 retail locations after resolving a labor dispute within 48 hours.</w:t>
      </w:r>
    </w:p>
    <w:p>
      <w:pPr>
        <w:pStyle w:val="FirstParagraph"/>
      </w:pPr>
      <w:r>
        <w:t xml:space="preserve">Client retention rates in South Korea Seoul reached 94%—exceeding the industry benchmark of 83%—demonstrating superior service quality and localized legal understanding.</w:t>
      </w:r>
    </w:p>
    <w:bookmarkEnd w:id="25"/>
    <w:bookmarkStart w:id="26" w:name="Xfb02f11988a3f1ad535b1f8a122a51d48a1baab"/>
    <w:p>
      <w:pPr>
        <w:pStyle w:val="Heading2"/>
      </w:pPr>
      <w:r>
        <w:t xml:space="preserve">V. Strategic Investments Driving Sales Growth</w:t>
      </w:r>
    </w:p>
    <w:p>
      <w:pPr>
        <w:pStyle w:val="FirstParagraph"/>
      </w:pPr>
      <w:r>
        <w:t xml:space="preserve">Our sales performance is directly attributed to targeted investments in Seoul-specific capabilities:</w:t>
      </w:r>
    </w:p>
    <w:p>
      <w:pPr>
        <w:numPr>
          <w:ilvl w:val="0"/>
          <w:numId w:val="1004"/>
        </w:numPr>
        <w:pStyle w:val="Compact"/>
      </w:pPr>
      <w:r>
        <w:rPr>
          <w:bCs/>
          <w:b/>
        </w:rPr>
        <w:t xml:space="preserve">Seoul Court System Expertise:</w:t>
      </w:r>
      <w:r>
        <w:t xml:space="preserve"> </w:t>
      </w:r>
      <w:r>
        <w:t xml:space="preserve">Dedicated team of 15 lawyers specializing exclusively in Seoul District Court procedures, reducing case resolution time by 37%.</w:t>
      </w:r>
    </w:p>
    <w:p>
      <w:pPr>
        <w:numPr>
          <w:ilvl w:val="0"/>
          <w:numId w:val="1004"/>
        </w:numPr>
        <w:pStyle w:val="Compact"/>
      </w:pPr>
      <w:r>
        <w:rPr>
          <w:bCs/>
          <w:b/>
        </w:rPr>
        <w:t xml:space="preserve">Korean Language &amp; Cultural Proficiency:</w:t>
      </w:r>
      <w:r>
        <w:t xml:space="preserve"> </w:t>
      </w:r>
      <w:r>
        <w:t xml:space="preserve">All client-facing staff are fluent in Korean; 89% possess advanced degrees from Seoul National University or Korea University Law School.</w:t>
      </w:r>
    </w:p>
    <w:p>
      <w:pPr>
        <w:numPr>
          <w:ilvl w:val="0"/>
          <w:numId w:val="1004"/>
        </w:numPr>
        <w:pStyle w:val="Compact"/>
      </w:pPr>
      <w:r>
        <w:rPr>
          <w:bCs/>
          <w:b/>
        </w:rPr>
        <w:t xml:space="preserve">Digital Case Management Platform:</w:t>
      </w:r>
      <w:r>
        <w:t xml:space="preserve"> </w:t>
      </w:r>
      <w:r>
        <w:t xml:space="preserve">Launched "SeoulCounsel" AI tool for real-time document review compliant with South Korea's Data Protection Act, adopted by 47% of new clients.</w:t>
      </w:r>
    </w:p>
    <w:bookmarkEnd w:id="26"/>
    <w:bookmarkStart w:id="27" w:name="vi.-challenges-mitigation-strategies"/>
    <w:p>
      <w:pPr>
        <w:pStyle w:val="Heading2"/>
      </w:pPr>
      <w:r>
        <w:t xml:space="preserve">VI. Challenges &amp; Mitigation Strategies</w:t>
      </w:r>
    </w:p>
    <w:p>
      <w:pPr>
        <w:pStyle w:val="FirstParagraph"/>
      </w:pPr>
      <w:r>
        <w:t xml:space="preserve">Key challenges identified in the Sales Report include:</w:t>
      </w:r>
    </w:p>
    <w:p>
      <w:pPr>
        <w:numPr>
          <w:ilvl w:val="0"/>
          <w:numId w:val="1005"/>
        </w:numPr>
        <w:pStyle w:val="Compact"/>
      </w:pPr>
      <w:r>
        <w:rPr>
          <w:iCs/>
          <w:i/>
        </w:rPr>
        <w:t xml:space="preserve">Regulatory Complexity:</w:t>
      </w:r>
      <w:r>
        <w:t xml:space="preserve"> </w:t>
      </w:r>
      <w:r>
        <w:t xml:space="preserve">South Korea's evolving fintech regulations caused 12% of Q4 projects to require scope adjustments. *Mitigation:* Established Seoul Regulatory Task Force with direct access to Financial Services Commission officials.</w:t>
      </w:r>
    </w:p>
    <w:p>
      <w:pPr>
        <w:numPr>
          <w:ilvl w:val="0"/>
          <w:numId w:val="1005"/>
        </w:numPr>
        <w:pStyle w:val="Compact"/>
      </w:pPr>
      <w:r>
        <w:rPr>
          <w:iCs/>
          <w:i/>
        </w:rPr>
        <w:t xml:space="preserve">Talent Competition:</w:t>
      </w:r>
      <w:r>
        <w:t xml:space="preserve"> </w:t>
      </w:r>
      <w:r>
        <w:t xml:space="preserve">Rising demand for top-tier lawyers in Seoul drove salary costs up 19%. *Mitigation:* Implemented "Seoul Talent Pipeline" program partnering with Yonsei University Law School.</w:t>
      </w:r>
    </w:p>
    <w:bookmarkEnd w:id="27"/>
    <w:bookmarkStart w:id="28" w:name="vii.-q1-2024-strategic-outlook"/>
    <w:p>
      <w:pPr>
        <w:pStyle w:val="Heading2"/>
      </w:pPr>
      <w:r>
        <w:t xml:space="preserve">VII. Q1 2024 Strategic Outlook</w:t>
      </w:r>
    </w:p>
    <w:p>
      <w:pPr>
        <w:pStyle w:val="FirstParagraph"/>
      </w:pPr>
      <w:r>
        <w:t xml:space="preserve">Based on current momentum, our Sales Report forecasts sustained growth in South Korea Seoul through:</w:t>
      </w:r>
    </w:p>
    <w:p>
      <w:pPr>
        <w:numPr>
          <w:ilvl w:val="0"/>
          <w:numId w:val="1006"/>
        </w:numPr>
        <w:pStyle w:val="Compact"/>
      </w:pPr>
      <w:r>
        <w:t xml:space="preserve">Expansion into Korean AI Regulation services (anticipated 55% revenue growth area)</w:t>
      </w:r>
    </w:p>
    <w:p>
      <w:pPr>
        <w:numPr>
          <w:ilvl w:val="0"/>
          <w:numId w:val="1006"/>
        </w:numPr>
        <w:pStyle w:val="Compact"/>
      </w:pPr>
      <w:r>
        <w:t xml:space="preserve">Pursuit of government contracts for Seoul's new "Digital Economy Law" implementation</w:t>
      </w:r>
    </w:p>
    <w:p>
      <w:pPr>
        <w:numPr>
          <w:ilvl w:val="0"/>
          <w:numId w:val="1006"/>
        </w:numPr>
        <w:pStyle w:val="Compact"/>
      </w:pPr>
      <w:r>
        <w:t xml:space="preserve">Targeting 10+ new international clients in Gangnam-based tech clusters</w:t>
      </w:r>
    </w:p>
    <w:p>
      <w:pPr>
        <w:pStyle w:val="FirstParagraph"/>
      </w:pPr>
      <w:r>
        <w:t xml:space="preserve">The firm projects Q1 2024 revenue will exceed KRW 40 billion, driven by confirmed mandates from three Fortune Global 500 companies establishing Seoul headquarters.</w:t>
      </w:r>
    </w:p>
    <w:bookmarkEnd w:id="28"/>
    <w:bookmarkStart w:id="29" w:name="viii.-conclusion"/>
    <w:p>
      <w:pPr>
        <w:pStyle w:val="Heading2"/>
      </w:pPr>
      <w:r>
        <w:t xml:space="preserve">VIII. Conclusion</w:t>
      </w:r>
    </w:p>
    <w:p>
      <w:pPr>
        <w:pStyle w:val="FirstParagraph"/>
      </w:pPr>
      <w:r>
        <w:t xml:space="preserve">This Sales Report conclusively demonstrates that our law firm’s success in South Korea Seoul is rooted in unmatched local expertise, not generic legal services. The strategic focus on Seoul-specific market dynamics—combined with a premium lawyer talent model—has positioned us as the preferred legal partner for businesses navigating South Korea's complex commercial environment. As demand for sophisticated legal solutions continues to surge across Seoul, this Sales Report validates our investment strategy and provides a clear roadmap for 2024 growth.</w:t>
      </w:r>
    </w:p>
    <w:p>
      <w:pPr>
        <w:pStyle w:val="BodyText"/>
      </w:pPr>
      <w:r>
        <w:rPr>
          <w:iCs/>
          <w:i/>
        </w:rPr>
        <w:t xml:space="preserve">Prepared by: Global Legal Partners - Seoul Sales &amp; Strategy Division</w:t>
      </w:r>
      <w:r>
        <w:br/>
      </w:r>
      <w:r>
        <w:rPr>
          <w:iCs/>
          <w:i/>
        </w:rPr>
        <w:t xml:space="preserve">Authorized By: CEO, Asia-Pacific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Premier Legal Services in South Korea Seoul</dc:title>
  <dc:creator/>
  <dc:language>en</dc:language>
  <cp:keywords/>
  <dcterms:created xsi:type="dcterms:W3CDTF">2026-07-24T04:04:25Z</dcterms:created>
  <dcterms:modified xsi:type="dcterms:W3CDTF">2026-07-24T04:04:25Z</dcterms:modified>
</cp:coreProperties>
</file>

<file path=docProps/custom.xml><?xml version="1.0" encoding="utf-8"?>
<Properties xmlns="http://schemas.openxmlformats.org/officeDocument/2006/custom-properties" xmlns:vt="http://schemas.openxmlformats.org/officeDocument/2006/docPropsVTypes"/>
</file>