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Legal</w:t>
      </w:r>
      <w:r>
        <w:t xml:space="preserve"> </w:t>
      </w:r>
      <w:r>
        <w:t xml:space="preserve">Services</w:t>
      </w:r>
      <w:r>
        <w:t xml:space="preserve"> </w:t>
      </w:r>
      <w:r>
        <w:t xml:space="preserve">in</w:t>
      </w:r>
      <w:r>
        <w:t xml:space="preserve"> </w:t>
      </w:r>
      <w:r>
        <w:t xml:space="preserve">Spain</w:t>
      </w:r>
      <w:r>
        <w:t xml:space="preserve"> </w:t>
      </w:r>
      <w:r>
        <w:t xml:space="preserve">Barcelona</w:t>
      </w:r>
    </w:p>
    <w:bookmarkStart w:id="26" w:name="Xfa0454370772334da12bfb059338a5352852179"/>
    <w:p>
      <w:pPr>
        <w:pStyle w:val="Heading1"/>
      </w:pPr>
      <w:r>
        <w:t xml:space="preserve">Comprehensive Sales Report: Legal Service Performance Analysis for Barcelona, Spain</w:t>
      </w:r>
    </w:p>
    <w:p>
      <w:pPr>
        <w:pStyle w:val="FirstParagraph"/>
      </w:pPr>
      <w:r>
        <w:t xml:space="preserve">This official Sales Report details the operational and financial performance of our legal practice within the dynamic jurisdiction of Spain Barcelona during the fiscal quarter ending September 30, 2023. As a premier law firm operating in one of Europe's most economically vibrant cities, we have meticulously analyzed client acquisition, service delivery metrics, and market positioning to deliver strategic insights critical for sustained growth. This document underscores how our commitment to excellence as a</w:t>
      </w:r>
      <w:r>
        <w:t xml:space="preserve"> </w:t>
      </w:r>
      <w:r>
        <w:rPr>
          <w:bCs/>
          <w:b/>
        </w:rPr>
        <w:t xml:space="preserve">Lawyer</w:t>
      </w:r>
      <w:r>
        <w:t xml:space="preserve"> </w:t>
      </w:r>
      <w:r>
        <w:t xml:space="preserve">serving Barcelona's unique legal landscape has directly influenced sales outcomes across multiple practice areas.</w:t>
      </w:r>
    </w:p>
    <w:bookmarkStart w:id="20" w:name="Xe02b1815cdfe57e6945b5a7c2c9e22b29021b87"/>
    <w:p>
      <w:pPr>
        <w:pStyle w:val="Heading2"/>
      </w:pPr>
      <w:r>
        <w:t xml:space="preserve">Executive Summary: Sales Performance in Spain Barcelona Market</w:t>
      </w:r>
    </w:p>
    <w:p>
      <w:pPr>
        <w:pStyle w:val="FirstParagraph"/>
      </w:pPr>
      <w:r>
        <w:t xml:space="preserve">The current sales cycle demonstrates exceptional momentum, with a 18.7% year-over-year revenue increase attributed to heightened demand for specialized legal services in Spain Barcelona. Our firm secured 42 new client engagements during Q3, including high-value corporate mandates from multinational entities headquartered in the Barcelona metropolitan area. Notably, cross-selling success reached 65% of new clients who adopted additional service lines (e.g., employment law to intellectual property protection), directly enhancing customer lifetime value. This performance places us among the top five legal providers for commercial litigation in Catalonia, as verified by the</w:t>
      </w:r>
      <w:r>
        <w:t xml:space="preserve"> </w:t>
      </w:r>
      <w:r>
        <w:rPr>
          <w:iCs/>
          <w:i/>
        </w:rPr>
        <w:t xml:space="preserve">Barcelona Bar Association's 2023 Market Benchmark Report</w:t>
      </w:r>
      <w:r>
        <w:t xml:space="preserve">.</w:t>
      </w:r>
    </w:p>
    <w:bookmarkEnd w:id="20"/>
    <w:bookmarkStart w:id="21" w:name="client-acquisition-retention-analytics"/>
    <w:p>
      <w:pPr>
        <w:pStyle w:val="Heading2"/>
      </w:pPr>
      <w:r>
        <w:t xml:space="preserve">Client Acquisition &amp; Retention Analytics</w:t>
      </w:r>
    </w:p>
    <w:p>
      <w:pPr>
        <w:pStyle w:val="FirstParagraph"/>
      </w:pPr>
      <w:r>
        <w:t xml:space="preserve">Our sales strategy in Spain Barcelona prioritizes hyper-localized engagement. By deploying Spanish-speaking legal consultants with deep knowledge of Catalan civil law nuances, we achieved a 34% lower client acquisition cost compared to national competitors. Key segments driving revenue include:</w:t>
      </w:r>
    </w:p>
    <w:p>
      <w:pPr>
        <w:numPr>
          <w:ilvl w:val="0"/>
          <w:numId w:val="1001"/>
        </w:numPr>
        <w:pStyle w:val="Compact"/>
      </w:pPr>
      <w:r>
        <w:rPr>
          <w:bCs/>
          <w:b/>
        </w:rPr>
        <w:t xml:space="preserve">International Businesses</w:t>
      </w:r>
      <w:r>
        <w:t xml:space="preserve">: 28% of new clients (e.g., German automotive firms establishing EU headquarters in Barcelona), generating €1.2M in retained fees</w:t>
      </w:r>
    </w:p>
    <w:p>
      <w:pPr>
        <w:numPr>
          <w:ilvl w:val="0"/>
          <w:numId w:val="1001"/>
        </w:numPr>
        <w:pStyle w:val="Compact"/>
      </w:pPr>
      <w:r>
        <w:rPr>
          <w:bCs/>
          <w:b/>
        </w:rPr>
        <w:t xml:space="preserve">Spanish SMEs</w:t>
      </w:r>
      <w:r>
        <w:t xml:space="preserve">: 36% growth in client base, primarily in tech startups navigating GDPR compliance and venture capital agreements</w:t>
      </w:r>
    </w:p>
    <w:p>
      <w:pPr>
        <w:numPr>
          <w:ilvl w:val="0"/>
          <w:numId w:val="1001"/>
        </w:numPr>
        <w:pStyle w:val="Compact"/>
      </w:pPr>
      <w:r>
        <w:rPr>
          <w:bCs/>
          <w:b/>
        </w:rPr>
        <w:t xml:space="preserve">High-Net-Worth Individuals</w:t>
      </w:r>
      <w:r>
        <w:t xml:space="preserve">: 21% increase in estate planning engagements, leveraging Barcelona's status as a European relocation hub</w:t>
      </w:r>
    </w:p>
    <w:p>
      <w:pPr>
        <w:pStyle w:val="FirstParagraph"/>
      </w:pPr>
      <w:r>
        <w:t xml:space="preserve">Cross-departmental collaboration (e.g., corporate lawyers partnering with tax specialists) elevated our retention rate to 89%, exceeding the regional average of 76%. Client satisfaction scores (NPS) reached 82, directly correlating with a 23% rise in referral business from existing clients – a critical metric for sustainable growth in Spain's relationship-driven legal market.</w:t>
      </w:r>
    </w:p>
    <w:bookmarkEnd w:id="21"/>
    <w:bookmarkStart w:id="22" w:name="Xfb3ce955e24642df377eb6539fd428760874ed3"/>
    <w:p>
      <w:pPr>
        <w:pStyle w:val="Heading2"/>
      </w:pPr>
      <w:r>
        <w:t xml:space="preserve">Market Dynamics: Barcelona-Specific Sales Challenges</w:t>
      </w:r>
    </w:p>
    <w:p>
      <w:pPr>
        <w:pStyle w:val="FirstParagraph"/>
      </w:pPr>
      <w:r>
        <w:t xml:space="preserve">Operating as a</w:t>
      </w:r>
      <w:r>
        <w:t xml:space="preserve"> </w:t>
      </w:r>
      <w:r>
        <w:rPr>
          <w:bCs/>
          <w:b/>
        </w:rPr>
        <w:t xml:space="preserve">Lawyer</w:t>
      </w:r>
      <w:r>
        <w:t xml:space="preserve"> </w:t>
      </w:r>
      <w:r>
        <w:t xml:space="preserve">in Spain Barcelona presents distinct challenges that directly impact sales strategy. The city's complex regulatory environment – including Catalonia's autonomous labor laws and municipal business licensing requirements – necessitates specialized expertise. During Q3, 41% of initial client inquiries involved multi-jurisdictional queries requiring coordination between Madrid-based courts and Barcelona's local tribunals. Our response included launching a "Barcelona Compliance Navigator" service, which reduced onboarding time by 37% and became a key differentiator in sales conversations.</w:t>
      </w:r>
    </w:p>
    <w:p>
      <w:pPr>
        <w:pStyle w:val="BodyText"/>
      </w:pPr>
      <w:r>
        <w:t xml:space="preserve">Additionally, the competitive landscape has intensified with 12 new law firms entering Barcelona's commercial sector this year. To counter this, we implemented dynamic pricing models for recurring services (e.g., annual compliance packages at 15% below market average), directly boosting conversion rates from consultations to signed agreements by 29%.</w:t>
      </w:r>
    </w:p>
    <w:bookmarkEnd w:id="22"/>
    <w:bookmarkStart w:id="23" w:name="X4db2dfbacc5f1d086319156487dc147672ed57d"/>
    <w:p>
      <w:pPr>
        <w:pStyle w:val="Heading2"/>
      </w:pPr>
      <w:r>
        <w:t xml:space="preserve">Strategic Sales Initiatives Driving Growth</w:t>
      </w:r>
    </w:p>
    <w:p>
      <w:pPr>
        <w:pStyle w:val="FirstParagraph"/>
      </w:pPr>
      <w:r>
        <w:t xml:space="preserve">Our sales success in Spain Barcelona stems from three pillar initiatives:</w:t>
      </w:r>
    </w:p>
    <w:p>
      <w:pPr>
        <w:numPr>
          <w:ilvl w:val="0"/>
          <w:numId w:val="1002"/>
        </w:numPr>
        <w:pStyle w:val="Compact"/>
      </w:pPr>
      <w:r>
        <w:rPr>
          <w:bCs/>
          <w:b/>
        </w:rPr>
        <w:t xml:space="preserve">Localized Digital Presence</w:t>
      </w:r>
      <w:r>
        <w:t xml:space="preserve">: Geo-targeted SEO campaigns focusing on "Barcelona commercial lawyer" and "Catalan contract specialist" generated 58% of qualified leads. Content tailored to Barcelona's legal culture (e.g., blog posts on "Navigating Municipal Licenses in Eixample District") drove a 44% increase in organic traffic from the city.</w:t>
      </w:r>
    </w:p>
    <w:p>
      <w:pPr>
        <w:numPr>
          <w:ilvl w:val="0"/>
          <w:numId w:val="1002"/>
        </w:numPr>
        <w:pStyle w:val="Compact"/>
      </w:pPr>
      <w:r>
        <w:rPr>
          <w:bCs/>
          <w:b/>
        </w:rPr>
        <w:t xml:space="preserve">Industry-Specific Partnerships</w:t>
      </w:r>
      <w:r>
        <w:t xml:space="preserve">: Strategic alliances with Barcelona Chamber of Commerce and TechBcn accelerated client acquisition. Co-hosted workshops on "Intellectual Property for Barcelona Startups" converted 32% of attendees into retained clients.</w:t>
      </w:r>
    </w:p>
    <w:p>
      <w:pPr>
        <w:numPr>
          <w:ilvl w:val="0"/>
          <w:numId w:val="1002"/>
        </w:numPr>
        <w:pStyle w:val="Compact"/>
      </w:pPr>
      <w:r>
        <w:rPr>
          <w:bCs/>
          <w:b/>
        </w:rPr>
        <w:t xml:space="preserve">Client Experience Enhancement</w:t>
      </w:r>
      <w:r>
        <w:t xml:space="preserve">: Implementation of a multilingual CRM (Spanish, Catalan, English) enabled real-time tracking of client journeys. This allowed our</w:t>
      </w:r>
      <w:r>
        <w:t xml:space="preserve"> </w:t>
      </w:r>
      <w:r>
        <w:rPr>
          <w:bCs/>
          <w:b/>
        </w:rPr>
        <w:t xml:space="preserve">Lawyer</w:t>
      </w:r>
      <w:r>
        <w:t xml:space="preserve"> </w:t>
      </w:r>
      <w:r>
        <w:t xml:space="preserve">team to proactively address Barcelona-specific concerns (e.g., language barriers in court documentation), improving service adoption rates by 31%.</w:t>
      </w:r>
    </w:p>
    <w:bookmarkEnd w:id="23"/>
    <w:bookmarkStart w:id="24" w:name="X70f7651c82ce97088a4f6212c589b67faec2f25"/>
    <w:p>
      <w:pPr>
        <w:pStyle w:val="Heading2"/>
      </w:pPr>
      <w:r>
        <w:t xml:space="preserve">Financial Performance: Sales Metrics for Spain Barcelona</w:t>
      </w:r>
    </w:p>
    <w:p>
      <w:pPr>
        <w:pStyle w:val="FirstParagraph"/>
      </w:pPr>
      <w:r>
        <w:t xml:space="preserve">The sales performance of our Barcelona practice exceeded targets across all KPIs:</w:t>
      </w:r>
    </w:p>
    <w:p>
      <w:pPr>
        <w:pStyle w:val="BodyText"/>
      </w:pPr>
      <w:r>
        <w:t xml:space="preserve">Indicator</w:t>
      </w:r>
    </w:p>
    <w:p>
      <w:pPr>
        <w:pStyle w:val="BodyText"/>
      </w:pPr>
      <w:r>
        <w:t xml:space="preserve">Q3 2023</w:t>
      </w:r>
    </w:p>
    <w:p>
      <w:pPr>
        <w:pStyle w:val="BodyText"/>
      </w:pPr>
      <w:r>
        <w:t xml:space="preserve">Target</w:t>
      </w:r>
    </w:p>
    <w:p>
      <w:pPr>
        <w:pStyle w:val="BodyText"/>
      </w:pPr>
      <w:r>
        <w:t xml:space="preserve">Variance</w:t>
      </w:r>
    </w:p>
    <w:p>
      <w:pPr>
        <w:pStyle w:val="BodyText"/>
      </w:pPr>
      <w:r>
        <w:t xml:space="preserve">Total Revenue (€)</w:t>
      </w:r>
    </w:p>
    <w:p>
      <w:pPr>
        <w:pStyle w:val="BodyText"/>
      </w:pPr>
      <w:r>
        <w:t xml:space="preserve">1,487,500</w:t>
      </w:r>
    </w:p>
    <w:p>
      <w:pPr>
        <w:pStyle w:val="BodyText"/>
      </w:pPr>
      <w:r>
        <w:t xml:space="preserve">1,350,000</w:t>
      </w:r>
    </w:p>
    <w:p>
      <w:pPr>
        <w:pStyle w:val="BodyText"/>
      </w:pPr>
      <w:r>
        <w:t xml:space="preserve">+10.2%</w:t>
      </w:r>
    </w:p>
    <w:p>
      <w:pPr>
        <w:pStyle w:val="BodyText"/>
      </w:pPr>
      <w:r>
        <w:t xml:space="preserve">New Client Acquisition</w:t>
      </w:r>
    </w:p>
    <w:p>
      <w:pPr>
        <w:pStyle w:val="BodyText"/>
      </w:pPr>
      <w:r>
        <w:t xml:space="preserve">42</w:t>
      </w:r>
    </w:p>
    <w:p>
      <w:pPr>
        <w:pStyle w:val="BodyText"/>
      </w:pPr>
      <w:r>
        <w:t xml:space="preserve">38</w:t>
      </w:r>
    </w:p>
    <w:p>
      <w:pPr>
        <w:pStyle w:val="BodyText"/>
      </w:pPr>
      <w:r>
        <w:t xml:space="preserve">+10.5%</w:t>
      </w:r>
    </w:p>
    <w:p>
      <w:pPr>
        <w:pStyle w:val="BodyText"/>
      </w:pPr>
      <w:r>
        <w:t xml:space="preserve">Avg. Retainer Value (€)</w:t>
      </w:r>
    </w:p>
    <w:p>
      <w:pPr>
        <w:pStyle w:val="BodyText"/>
      </w:pPr>
      <w:r>
        <w:t xml:space="preserve">38,500</w:t>
      </w:r>
    </w:p>
    <w:p>
      <w:pPr>
        <w:pStyle w:val="BodyText"/>
      </w:pPr>
      <w:r>
        <w:t xml:space="preserve">35,200</w:t>
      </w:r>
    </w:p>
    <w:p>
      <w:pPr>
        <w:pStyle w:val="BodyText"/>
      </w:pPr>
      <w:r>
        <w:t xml:space="preserve">+9.4%</w:t>
      </w:r>
    </w:p>
    <w:p>
      <w:pPr>
        <w:pStyle w:val="BodyText"/>
      </w:pPr>
      <w:r>
        <w:t xml:space="preserve">Client Retention Rate (%)</w:t>
      </w:r>
    </w:p>
    <w:p>
      <w:pPr>
        <w:pStyle w:val="BodyText"/>
      </w:pPr>
      <w:r>
        <w:t xml:space="preserve">89%</w:t>
      </w:r>
    </w:p>
    <w:p>
      <w:pPr>
        <w:pStyle w:val="BodyText"/>
      </w:pPr>
      <w:r>
        <w:t xml:space="preserve">84%</w:t>
      </w:r>
    </w:p>
    <w:p>
      <w:pPr>
        <w:pStyle w:val="BodyText"/>
      </w:pPr>
      <w:r>
        <w:t xml:space="preserve">+5.0 pts</w:t>
      </w:r>
    </w:p>
    <w:p>
      <w:pPr>
        <w:pStyle w:val="BodyText"/>
      </w:pPr>
      <w:r>
        <w:t xml:space="preserve">The revenue growth is particularly significant given Spain's 2023 economic slowdown, proving our market differentiation. We attribute 67% of this success to Barcelona-specific service adaptations, such as integrating Catalan language support into all client communications – a requirement under the</w:t>
      </w:r>
      <w:r>
        <w:t xml:space="preserve"> </w:t>
      </w:r>
      <w:r>
        <w:rPr>
          <w:iCs/>
          <w:i/>
        </w:rPr>
        <w:t xml:space="preserve">Law on Official Use of Catalan (1983)</w:t>
      </w:r>
      <w:r>
        <w:t xml:space="preserve">.</w:t>
      </w:r>
    </w:p>
    <w:bookmarkEnd w:id="24"/>
    <w:bookmarkStart w:id="25" w:name="future-outlook-strategic-recommendations"/>
    <w:p>
      <w:pPr>
        <w:pStyle w:val="Heading2"/>
      </w:pPr>
      <w:r>
        <w:t xml:space="preserve">Future Outlook &amp; Strategic Recommendations</w:t>
      </w:r>
    </w:p>
    <w:p>
      <w:pPr>
        <w:pStyle w:val="FirstParagraph"/>
      </w:pPr>
      <w:r>
        <w:t xml:space="preserve">To maintain momentum in Spain Barcelona, we recommend:</w:t>
      </w:r>
    </w:p>
    <w:p>
      <w:pPr>
        <w:numPr>
          <w:ilvl w:val="0"/>
          <w:numId w:val="1003"/>
        </w:numPr>
        <w:pStyle w:val="Compact"/>
      </w:pPr>
      <w:r>
        <w:rPr>
          <w:bCs/>
          <w:b/>
        </w:rPr>
        <w:t xml:space="preserve">Expand Labor Law Practice</w:t>
      </w:r>
      <w:r>
        <w:t xml:space="preserve">: Leverage Barcelona's high employment litigation volume (up 19% YoY) through specialized "Barcelona Workplace Compliance" packages.</w:t>
      </w:r>
    </w:p>
    <w:p>
      <w:pPr>
        <w:numPr>
          <w:ilvl w:val="0"/>
          <w:numId w:val="1003"/>
        </w:numPr>
        <w:pStyle w:val="Compact"/>
      </w:pPr>
      <w:r>
        <w:rPr>
          <w:bCs/>
          <w:b/>
        </w:rPr>
        <w:t xml:space="preserve">Invest in AI Legal Tools</w:t>
      </w:r>
      <w:r>
        <w:t xml:space="preserve">: Implement machine learning for predicting Barcelona court case durations, enhancing sales proposals with data-driven timelines.</w:t>
      </w:r>
    </w:p>
    <w:p>
      <w:pPr>
        <w:numPr>
          <w:ilvl w:val="0"/>
          <w:numId w:val="1003"/>
        </w:numPr>
        <w:pStyle w:val="Compact"/>
      </w:pPr>
      <w:r>
        <w:rPr>
          <w:bCs/>
          <w:b/>
        </w:rPr>
        <w:t xml:space="preserve">Strengthen Regional Alliances</w:t>
      </w:r>
      <w:r>
        <w:t xml:space="preserve">: Partner with Valencia and Madrid offices to create a "Norte de España" legal network, capturing cross-border opportunities from Barcelona-based clients.</w:t>
      </w:r>
    </w:p>
    <w:p>
      <w:pPr>
        <w:pStyle w:val="FirstParagraph"/>
      </w:pPr>
      <w:r>
        <w:t xml:space="preserve">This Sales Report confirms that our focus on Spain Barcelona's unique legal ecosystem – where cultural nuance, regulatory complexity, and economic dynamism converge – remains the cornerstone of our sales excellence. As a leading</w:t>
      </w:r>
      <w:r>
        <w:t xml:space="preserve"> </w:t>
      </w:r>
      <w:r>
        <w:rPr>
          <w:bCs/>
          <w:b/>
        </w:rPr>
        <w:t xml:space="preserve">Lawyer</w:t>
      </w:r>
      <w:r>
        <w:t xml:space="preserve"> </w:t>
      </w:r>
      <w:r>
        <w:t xml:space="preserve">in this market, we are positioned to capitalize on Catalonia's evolving business landscape through continuous adaptation of our service offerings. We project 22% revenue growth for FY 2024 by doubling down on hyper-localized solutions that resonate with Barcelona's professional community.</w:t>
      </w:r>
    </w:p>
    <w:p>
      <w:pPr>
        <w:pStyle w:val="BodyText"/>
      </w:pPr>
      <w:r>
        <w:rPr>
          <w:iCs/>
          <w:i/>
        </w:rPr>
        <w:t xml:space="preserve">Prepared for: Executive Leadership | Date: October 15, 2023 | Firm: Barcelona Legal Group | Confidential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Legal Services in Spain Barcelona</dc:title>
  <dc:creator/>
  <dc:language>en</dc:language>
  <cp:keywords/>
  <dcterms:created xsi:type="dcterms:W3CDTF">2026-07-23T11:45:57Z</dcterms:created>
  <dcterms:modified xsi:type="dcterms:W3CDTF">2026-07-23T11:45:57Z</dcterms:modified>
</cp:coreProperties>
</file>

<file path=docProps/custom.xml><?xml version="1.0" encoding="utf-8"?>
<Properties xmlns="http://schemas.openxmlformats.org/officeDocument/2006/custom-properties" xmlns:vt="http://schemas.openxmlformats.org/officeDocument/2006/docPropsVTypes"/>
</file>