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Performance</w:t>
      </w:r>
      <w:r>
        <w:t xml:space="preserve"> </w:t>
      </w:r>
      <w:r>
        <w:t xml:space="preserve">Report:</w:t>
      </w:r>
      <w:r>
        <w:t xml:space="preserve"> </w:t>
      </w:r>
      <w:r>
        <w:t xml:space="preserve">Legal</w:t>
      </w:r>
      <w:r>
        <w:t xml:space="preserve"> </w:t>
      </w:r>
      <w:r>
        <w:t xml:space="preserve">Service</w:t>
      </w:r>
      <w:r>
        <w:t xml:space="preserve"> </w:t>
      </w:r>
      <w:r>
        <w:t xml:space="preserve">Delivery</w:t>
      </w:r>
      <w:r>
        <w:t xml:space="preserve"> </w:t>
      </w:r>
      <w:r>
        <w:t xml:space="preserve">in</w:t>
      </w:r>
      <w:r>
        <w:t xml:space="preserve"> </w:t>
      </w:r>
      <w:r>
        <w:t xml:space="preserve">Khartoum</w:t>
      </w:r>
    </w:p>
    <w:bookmarkStart w:id="27" w:name="X4d3a943eace8e2a7cac19a6f6ccdc382a36088d"/>
    <w:p>
      <w:pPr>
        <w:pStyle w:val="Heading1"/>
      </w:pPr>
      <w:r>
        <w:t xml:space="preserve">2023 Fourth Quarter Sales Report: Legal Service Delivery Across Sudan Khartoum</w:t>
      </w:r>
    </w:p>
    <w:bookmarkStart w:id="20" w:name="executive-summary"/>
    <w:p>
      <w:pPr>
        <w:pStyle w:val="Heading2"/>
      </w:pPr>
      <w:r>
        <w:t xml:space="preserve">Executive Summary</w:t>
      </w:r>
    </w:p>
    <w:p>
      <w:pPr>
        <w:pStyle w:val="FirstParagraph"/>
      </w:pPr>
      <w:r>
        <w:t xml:space="preserve">This report details the sales performance of legal service delivery across Sudan Khartoum for Q4 2023. The legal sector in Khartoum remains critical to business operations, dispute resolution, and compliance amid Sudan's evolving economic and political landscape. Our firm achieved a 15% year-on-year increase in client acquisition for</w:t>
      </w:r>
      <w:r>
        <w:t xml:space="preserve"> </w:t>
      </w:r>
      <w:r>
        <w:rPr>
          <w:bCs/>
          <w:b/>
        </w:rPr>
        <w:t xml:space="preserve">Lawyer</w:t>
      </w:r>
      <w:r>
        <w:t xml:space="preserve">-led services, reflecting heightened demand for specialized legal counsel. Total revenue from</w:t>
      </w:r>
      <w:r>
        <w:t xml:space="preserve"> </w:t>
      </w:r>
      <w:r>
        <w:rPr>
          <w:bCs/>
          <w:b/>
        </w:rPr>
        <w:t xml:space="preserve">Sudan Khartoum</w:t>
      </w:r>
      <w:r>
        <w:t xml:space="preserve"> </w:t>
      </w:r>
      <w:r>
        <w:t xml:space="preserve">operations reached $482,000 USD, driven by corporate advisory and litigation support. This growth underscores the strategic importance of our</w:t>
      </w:r>
      <w:r>
        <w:t xml:space="preserve"> </w:t>
      </w:r>
      <w:r>
        <w:rPr>
          <w:bCs/>
          <w:b/>
        </w:rPr>
        <w:t xml:space="preserve">Lawyer</w:t>
      </w:r>
      <w:r>
        <w:t xml:space="preserve"> </w:t>
      </w:r>
      <w:r>
        <w:t xml:space="preserve">network in navigating Khartoum's complex regulatory environment.</w:t>
      </w:r>
    </w:p>
    <w:bookmarkEnd w:id="20"/>
    <w:bookmarkStart w:id="21" w:name="Xda01bd937258f0e7371eb3988a3b8ad4c665d24"/>
    <w:p>
      <w:pPr>
        <w:pStyle w:val="Heading2"/>
      </w:pPr>
      <w:r>
        <w:t xml:space="preserve">Market Context: Sudan Khartoum Legal Landscape</w:t>
      </w:r>
    </w:p>
    <w:p>
      <w:pPr>
        <w:pStyle w:val="FirstParagraph"/>
      </w:pPr>
      <w:r>
        <w:t xml:space="preserve">Khartoum, as Sudan's capital and economic hub, hosts over 20,000 licensed practitioners. The city faces unique challenges including inflation exceeding 175% (World Bank, 2023), infrastructure disruptions from ongoing conflict, and evolving commercial laws post-2019 transition. Businesses increasingly prioritize proactive legal engagement to mitigate risks in land disputes, contract enforcement (particularly for foreign investors), and compliance with Sudanese Central Bank regulations. Our</w:t>
      </w:r>
      <w:r>
        <w:t xml:space="preserve"> </w:t>
      </w:r>
      <w:r>
        <w:rPr>
          <w:bCs/>
          <w:b/>
        </w:rPr>
        <w:t xml:space="preserve">Lawyer</w:t>
      </w:r>
      <w:r>
        <w:t xml:space="preserve"> </w:t>
      </w:r>
      <w:r>
        <w:t xml:space="preserve">team’s expertise in Khartoum's court systems—including the High Court Complex and Commercial Court—has become a decisive factor in client retention.</w:t>
      </w:r>
    </w:p>
    <w:bookmarkEnd w:id="21"/>
    <w:bookmarkStart w:id="23"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Q4 2023 Revenue ($)</w:t>
            </w:r>
          </w:p>
        </w:tc>
        <w:tc>
          <w:tcPr/>
          <w:p>
            <w:pPr>
              <w:pStyle w:val="Compact"/>
              <w:jc w:val="left"/>
            </w:pPr>
            <w:r>
              <w:t xml:space="preserve">YoY Growth (%)</w:t>
            </w:r>
          </w:p>
        </w:tc>
        <w:tc>
          <w:tcPr/>
          <w:p>
            <w:pPr>
              <w:pStyle w:val="Compact"/>
              <w:jc w:val="left"/>
            </w:pPr>
            <w:r>
              <w:t xml:space="preserve">Key Khartoum Clients Served</w:t>
            </w:r>
          </w:p>
        </w:tc>
      </w:tr>
      <w:tr>
        <w:tc>
          <w:tcPr/>
          <w:p>
            <w:pPr>
              <w:pStyle w:val="Compact"/>
              <w:jc w:val="left"/>
            </w:pPr>
            <w:r>
              <w:t xml:space="preserve">Court Representation (Litigation)</w:t>
            </w:r>
          </w:p>
        </w:tc>
        <w:tc>
          <w:tcPr/>
          <w:p>
            <w:pPr>
              <w:pStyle w:val="Compact"/>
              <w:jc w:val="left"/>
            </w:pPr>
            <w:r>
              <w:t xml:space="preserve">185,000</w:t>
            </w:r>
          </w:p>
        </w:tc>
        <w:tc>
          <w:tcPr/>
          <w:p>
            <w:pPr>
              <w:pStyle w:val="Compact"/>
              <w:jc w:val="left"/>
            </w:pPr>
            <w:r>
              <w:t xml:space="preserve">22%</w:t>
            </w:r>
          </w:p>
        </w:tc>
        <w:tc>
          <w:tcPr/>
          <w:p>
            <w:pPr>
              <w:pStyle w:val="Compact"/>
              <w:jc w:val="left"/>
            </w:pPr>
            <w:r>
              <w:t xml:space="preserve">Khartoum City Council, Al-Hilal Construction</w:t>
            </w:r>
          </w:p>
        </w:tc>
      </w:tr>
      <w:tr>
        <w:tc>
          <w:tcPr/>
          <w:p>
            <w:pPr>
              <w:pStyle w:val="Compact"/>
              <w:jc w:val="left"/>
            </w:pPr>
            <w:r>
              <w:t xml:space="preserve">Corporate Advisory &amp; Compliance</w:t>
            </w:r>
          </w:p>
        </w:tc>
        <w:tc>
          <w:tcPr/>
          <w:p>
            <w:pPr>
              <w:pStyle w:val="Compact"/>
              <w:jc w:val="left"/>
            </w:pPr>
            <w:r>
              <w:t xml:space="preserve">168,000</w:t>
            </w:r>
          </w:p>
        </w:tc>
        <w:tc>
          <w:tcPr/>
          <w:p>
            <w:pPr>
              <w:pStyle w:val="Compact"/>
              <w:jc w:val="left"/>
            </w:pPr>
            <w:r>
              <w:t xml:space="preserve">18%</w:t>
            </w:r>
          </w:p>
        </w:tc>
        <w:tc>
          <w:tcPr/>
          <w:p>
            <w:pPr>
              <w:pStyle w:val="Compact"/>
              <w:jc w:val="left"/>
            </w:pPr>
            <w:r>
              <w:t xml:space="preserve">Sudan Telecom, Khartoum Bank</w:t>
            </w:r>
          </w:p>
        </w:tc>
      </w:tr>
      <w:tr>
        <w:tc>
          <w:tcPr/>
          <w:p>
            <w:pPr>
              <w:pStyle w:val="Compact"/>
              <w:jc w:val="left"/>
            </w:pPr>
            <w:r>
              <w:t xml:space="preserve">Family &amp; Estate Law</w:t>
            </w:r>
          </w:p>
        </w:tc>
        <w:tc>
          <w:tcPr/>
          <w:p>
            <w:pPr>
              <w:pStyle w:val="Compact"/>
              <w:jc w:val="left"/>
            </w:pPr>
            <w:r>
              <w:t xml:space="preserve">72,500</w:t>
            </w:r>
          </w:p>
        </w:tc>
        <w:tc>
          <w:tcPr/>
          <w:p>
            <w:pPr>
              <w:pStyle w:val="Compact"/>
              <w:jc w:val="left"/>
            </w:pPr>
            <w:r>
              <w:t xml:space="preserve">-3%</w:t>
            </w:r>
          </w:p>
        </w:tc>
        <w:tc>
          <w:tcPr/>
          <w:p>
            <w:pPr>
              <w:pStyle w:val="Compact"/>
              <w:jc w:val="left"/>
            </w:pPr>
            <w:r>
              <w:t xml:space="preserve">N/A (Highly local demand)</w:t>
            </w:r>
          </w:p>
        </w:tc>
      </w:tr>
      <w:tr>
        <w:tc>
          <w:tcPr/>
          <w:p>
            <w:pPr>
              <w:pStyle w:val="Compact"/>
              <w:jc w:val="left"/>
            </w:pPr>
            <w:r>
              <w:t xml:space="preserve">Mergers &amp; Acquisitions Support</w:t>
            </w:r>
          </w:p>
        </w:tc>
        <w:tc>
          <w:tcPr/>
          <w:p>
            <w:pPr>
              <w:pStyle w:val="Compact"/>
              <w:jc w:val="left"/>
            </w:pPr>
            <w:r>
              <w:t xml:space="preserve">56,500</w:t>
            </w:r>
          </w:p>
        </w:tc>
        <w:tc>
          <w:tcPr/>
          <w:p>
            <w:pPr>
              <w:pStyle w:val="Compact"/>
              <w:jc w:val="left"/>
            </w:pPr>
            <w:r>
              <w:t xml:space="preserve">31%</w:t>
            </w:r>
          </w:p>
        </w:tc>
        <w:tc>
          <w:tcPr/>
          <w:p>
            <w:pPr>
              <w:pStyle w:val="Compact"/>
              <w:jc w:val="left"/>
            </w:pPr>
            <w:r>
              <w:t xml:space="preserve">Sudan Energy Group, Al-Jazeera Investments</w:t>
            </w:r>
          </w:p>
        </w:tc>
      </w:tr>
    </w:tbl>
    <w:bookmarkStart w:id="22" w:name="X72dec3ab748842d8448c3f8e9bcb28281260c40"/>
    <w:p>
      <w:pPr>
        <w:pStyle w:val="Heading3"/>
      </w:pPr>
      <w:r>
        <w:t xml:space="preserve">Key Insights from Sudan Khartoum Operations:</w:t>
      </w:r>
    </w:p>
    <w:p>
      <w:pPr>
        <w:numPr>
          <w:ilvl w:val="0"/>
          <w:numId w:val="1001"/>
        </w:numPr>
        <w:pStyle w:val="Compact"/>
      </w:pPr>
      <w:r>
        <w:rPr>
          <w:bCs/>
          <w:b/>
        </w:rPr>
        <w:t xml:space="preserve">Litigation Demand Surge:</w:t>
      </w:r>
      <w:r>
        <w:t xml:space="preserve"> </w:t>
      </w:r>
      <w:r>
        <w:t xml:space="preserve">22% growth in court representation stems from increased commercial disputes due to payment delays in Khartoum’s construction sector. Our firm secured a landmark win for Al-Hilal Construction against a $1.2M breach-of-contract claim at the Khartoum Commercial Court (Q3 2023).</w:t>
      </w:r>
    </w:p>
    <w:p>
      <w:pPr>
        <w:numPr>
          <w:ilvl w:val="0"/>
          <w:numId w:val="1001"/>
        </w:numPr>
        <w:pStyle w:val="Compact"/>
      </w:pPr>
      <w:r>
        <w:rPr>
          <w:bCs/>
          <w:b/>
        </w:rPr>
        <w:t xml:space="preserve">Corporate Compliance Focus:</w:t>
      </w:r>
      <w:r>
        <w:t xml:space="preserve"> </w:t>
      </w:r>
      <w:r>
        <w:t xml:space="preserve">Khartoum-based businesses now budget 40% more for legal compliance following Sudan’s revised Foreign Investment Law (January 2023). Our</w:t>
      </w:r>
      <w:r>
        <w:t xml:space="preserve"> </w:t>
      </w:r>
      <w:r>
        <w:rPr>
          <w:bCs/>
          <w:b/>
        </w:rPr>
        <w:t xml:space="preserve">Lawyer</w:t>
      </w:r>
      <w:r>
        <w:t xml:space="preserve"> </w:t>
      </w:r>
      <w:r>
        <w:t xml:space="preserve">team conducted 14 compliance workshops across Khartoum’s business districts, generating $89,000 in direct revenue.</w:t>
      </w:r>
    </w:p>
    <w:p>
      <w:pPr>
        <w:numPr>
          <w:ilvl w:val="0"/>
          <w:numId w:val="1001"/>
        </w:numPr>
        <w:pStyle w:val="Compact"/>
      </w:pPr>
      <w:r>
        <w:rPr>
          <w:bCs/>
          <w:b/>
        </w:rPr>
        <w:t xml:space="preserve">Client Retention Strategy:</w:t>
      </w:r>
      <w:r>
        <w:t xml:space="preserve"> </w:t>
      </w:r>
      <w:r>
        <w:t xml:space="preserve">76% of new Khartoum clients were referred by existing ones—proof of trust in our local</w:t>
      </w:r>
      <w:r>
        <w:t xml:space="preserve"> </w:t>
      </w:r>
      <w:r>
        <w:rPr>
          <w:bCs/>
          <w:b/>
        </w:rPr>
        <w:t xml:space="preserve">Lawyer</w:t>
      </w:r>
      <w:r>
        <w:t xml:space="preserve"> </w:t>
      </w:r>
      <w:r>
        <w:t xml:space="preserve">expertise. This contrasts with a national average of 58% for legal firms in Sudan.</w:t>
      </w:r>
    </w:p>
    <w:bookmarkEnd w:id="22"/>
    <w:bookmarkEnd w:id="23"/>
    <w:bookmarkStart w:id="24" w:name="challenges-specific-to-sudan-khartoum"/>
    <w:p>
      <w:pPr>
        <w:pStyle w:val="Heading2"/>
      </w:pPr>
      <w:r>
        <w:t xml:space="preserve">Challenges Specific to Sudan Khartoum</w:t>
      </w:r>
    </w:p>
    <w:p>
      <w:pPr>
        <w:pStyle w:val="FirstParagraph"/>
      </w:pPr>
      <w:r>
        <w:t xml:space="preserve">Navigating Khartoum’s operational realities presented hurdles requiring tailored sales approaches:</w:t>
      </w:r>
    </w:p>
    <w:p>
      <w:pPr>
        <w:numPr>
          <w:ilvl w:val="0"/>
          <w:numId w:val="1002"/>
        </w:numPr>
        <w:pStyle w:val="Compact"/>
      </w:pPr>
      <w:r>
        <w:rPr>
          <w:bCs/>
          <w:b/>
        </w:rPr>
        <w:t xml:space="preserve">Infrastructure Constraints:</w:t>
      </w:r>
      <w:r>
        <w:t xml:space="preserve"> </w:t>
      </w:r>
      <w:r>
        <w:t xml:space="preserve">Power outages disrupted virtual consultations for 18% of clients in October. We implemented a mobile legal support unit with backup generators, reducing service interruptions by 65%.</w:t>
      </w:r>
    </w:p>
    <w:p>
      <w:pPr>
        <w:numPr>
          <w:ilvl w:val="0"/>
          <w:numId w:val="1002"/>
        </w:numPr>
        <w:pStyle w:val="Compact"/>
      </w:pPr>
      <w:r>
        <w:rPr>
          <w:bCs/>
          <w:b/>
        </w:rPr>
        <w:t xml:space="preserve">Economic Volatility:</w:t>
      </w:r>
      <w:r>
        <w:t xml:space="preserve"> </w:t>
      </w:r>
      <w:r>
        <w:t xml:space="preserve">Inflation eroded client budgets. Our Khartoum sales team introduced flexible payment plans (30% upfront, 70% upon case resolution), increasing close rates by 28%.</w:t>
      </w:r>
    </w:p>
    <w:p>
      <w:pPr>
        <w:numPr>
          <w:ilvl w:val="0"/>
          <w:numId w:val="1002"/>
        </w:numPr>
        <w:pStyle w:val="Compact"/>
      </w:pPr>
      <w:r>
        <w:rPr>
          <w:bCs/>
          <w:b/>
        </w:rPr>
        <w:t xml:space="preserve">Cultural Nuances:</w:t>
      </w:r>
      <w:r>
        <w:t xml:space="preserve"> </w:t>
      </w:r>
      <w:r>
        <w:t xml:space="preserve">Traditional conflict-resolution practices in Khartoum require</w:t>
      </w:r>
      <w:r>
        <w:t xml:space="preserve"> </w:t>
      </w:r>
      <w:r>
        <w:rPr>
          <w:bCs/>
          <w:b/>
        </w:rPr>
        <w:t xml:space="preserve">Lawyer</w:t>
      </w:r>
      <w:r>
        <w:t xml:space="preserve">s to blend formal legal counsel with community mediation. Training all Khartoum-based</w:t>
      </w:r>
      <w:r>
        <w:t xml:space="preserve"> </w:t>
      </w:r>
      <w:r>
        <w:rPr>
          <w:bCs/>
          <w:b/>
        </w:rPr>
        <w:t xml:space="preserve">Lawyer</w:t>
      </w:r>
      <w:r>
        <w:t xml:space="preserve">s in local dispute-prevention frameworks increased client satisfaction scores by 34% (Q3–Q4).</w:t>
      </w:r>
    </w:p>
    <w:bookmarkEnd w:id="24"/>
    <w:bookmarkStart w:id="25" w:name="strategic-initiatives-for-q1-2024"/>
    <w:p>
      <w:pPr>
        <w:pStyle w:val="Heading2"/>
      </w:pPr>
      <w:r>
        <w:t xml:space="preserve">Strategic Initiatives for Q1 2024</w:t>
      </w:r>
    </w:p>
    <w:p>
      <w:pPr>
        <w:pStyle w:val="FirstParagraph"/>
      </w:pPr>
      <w:r>
        <w:t xml:space="preserve">To sustain growth in Sudan Khartoum, we propose:</w:t>
      </w:r>
    </w:p>
    <w:p>
      <w:pPr>
        <w:numPr>
          <w:ilvl w:val="0"/>
          <w:numId w:val="1003"/>
        </w:numPr>
        <w:pStyle w:val="Compact"/>
      </w:pPr>
      <w:r>
        <w:rPr>
          <w:bCs/>
          <w:b/>
        </w:rPr>
        <w:t xml:space="preserve">KhARTOUM Legal Hub Expansion:</w:t>
      </w:r>
      <w:r>
        <w:t xml:space="preserve"> </w:t>
      </w:r>
      <w:r>
        <w:t xml:space="preserve">Open a dedicated office in Omdurman (Khartoum’s industrial zone) to serve high-growth sectors like agribusiness and oil logistics. This addresses current gaps in rural Khartoum service access.</w:t>
      </w:r>
    </w:p>
    <w:p>
      <w:pPr>
        <w:numPr>
          <w:ilvl w:val="0"/>
          <w:numId w:val="1003"/>
        </w:numPr>
        <w:pStyle w:val="Compact"/>
      </w:pPr>
      <w:r>
        <w:rPr>
          <w:bCs/>
          <w:b/>
        </w:rPr>
        <w:t xml:space="preserve">AI-Powered Case Management:</w:t>
      </w:r>
      <w:r>
        <w:t xml:space="preserve"> </w:t>
      </w:r>
      <w:r>
        <w:t xml:space="preserve">Deploy localized legal AI tools trained on Sudanese case law to reduce document review time by 40% for Khartoum-based</w:t>
      </w:r>
      <w:r>
        <w:t xml:space="preserve"> </w:t>
      </w:r>
      <w:r>
        <w:rPr>
          <w:bCs/>
          <w:b/>
        </w:rPr>
        <w:t xml:space="preserve">Lawyer</w:t>
      </w:r>
      <w:r>
        <w:t xml:space="preserve">s. Pilot launched January 2024.</w:t>
      </w:r>
    </w:p>
    <w:p>
      <w:pPr>
        <w:numPr>
          <w:ilvl w:val="0"/>
          <w:numId w:val="1003"/>
        </w:numPr>
        <w:pStyle w:val="Compact"/>
      </w:pPr>
      <w:r>
        <w:rPr>
          <w:bCs/>
          <w:b/>
        </w:rPr>
        <w:t xml:space="preserve">Sudan Chamber Partnership:</w:t>
      </w:r>
      <w:r>
        <w:t xml:space="preserve"> </w:t>
      </w:r>
      <w:r>
        <w:t xml:space="preserve">Formalize collaboration with the Khartoum Chamber of Commerce for mandatory legal compliance workshops. Target: 150 new corporate clients by Q2 2024.</w:t>
      </w:r>
    </w:p>
    <w:bookmarkEnd w:id="25"/>
    <w:bookmarkStart w:id="26" w:name="conclusion"/>
    <w:p>
      <w:pPr>
        <w:pStyle w:val="Heading2"/>
      </w:pPr>
      <w:r>
        <w:t xml:space="preserve">Conclusion</w:t>
      </w:r>
    </w:p>
    <w:p>
      <w:pPr>
        <w:pStyle w:val="FirstParagraph"/>
      </w:pPr>
      <w:r>
        <w:t xml:space="preserve">The Sudan Khartoum market remains a high-potential segment for specialized legal services, with our firm positioned as a leader through locally embedded</w:t>
      </w:r>
      <w:r>
        <w:t xml:space="preserve"> </w:t>
      </w:r>
      <w:r>
        <w:rPr>
          <w:bCs/>
          <w:b/>
        </w:rPr>
        <w:t xml:space="preserve">Lawyer</w:t>
      </w:r>
      <w:r>
        <w:t xml:space="preserve"> </w:t>
      </w:r>
      <w:r>
        <w:t xml:space="preserve">expertise. While economic instability presents challenges, client demand for reliable legal counsel is surging—particularly in commercial and compliance domains. The 15% revenue growth in Q4 2023 validates our strategy of embedding</w:t>
      </w:r>
      <w:r>
        <w:t xml:space="preserve"> </w:t>
      </w:r>
      <w:r>
        <w:rPr>
          <w:bCs/>
          <w:b/>
        </w:rPr>
        <w:t xml:space="preserve">Lawyer</w:t>
      </w:r>
      <w:r>
        <w:t xml:space="preserve">s deeply within Khartoum's business ecosystem. Moving forward, prioritizing accessibility (e.g., mobile legal units) and hyper-localized service delivery will be non-negotiable for sustaining momentum in this critical market.</w:t>
      </w:r>
    </w:p>
    <w:p>
      <w:pPr>
        <w:pStyle w:val="BodyText"/>
      </w:pPr>
      <w:r>
        <w:rPr>
          <w:iCs/>
          <w:i/>
        </w:rPr>
        <w:t xml:space="preserve">Prepared by: Global Legal Sales &amp; Strategy Division</w:t>
      </w:r>
      <w:r>
        <w:br/>
      </w:r>
      <w:r>
        <w:rPr>
          <w:iCs/>
          <w:i/>
        </w:rPr>
        <w:t xml:space="preserve">Date: January 15, 2024</w:t>
      </w:r>
      <w:r>
        <w:br/>
      </w:r>
      <w:r>
        <w:rPr>
          <w:iCs/>
          <w:i/>
        </w:rPr>
        <w:t xml:space="preserve">Report Distribution: Firm Leadership, Sudan Khartoum Office Management, Board of Directors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Performance Report: Legal Service Delivery in Khartoum</dc:title>
  <dc:creator/>
  <cp:keywords/>
  <dcterms:created xsi:type="dcterms:W3CDTF">2026-07-23T19:17:32Z</dcterms:created>
  <dcterms:modified xsi:type="dcterms:W3CDTF">2026-07-23T19:17:32Z</dcterms:modified>
</cp:coreProperties>
</file>

<file path=docProps/custom.xml><?xml version="1.0" encoding="utf-8"?>
<Properties xmlns="http://schemas.openxmlformats.org/officeDocument/2006/custom-properties" xmlns:vt="http://schemas.openxmlformats.org/officeDocument/2006/docPropsVTypes"/>
</file>