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Thailand</w:t>
      </w:r>
      <w:r>
        <w:t xml:space="preserve"> </w:t>
      </w:r>
      <w:r>
        <w:t xml:space="preserve">Bangkok</w:t>
      </w:r>
      <w:r>
        <w:t xml:space="preserve"> </w:t>
      </w:r>
      <w:r>
        <w:t xml:space="preserve">Lawyer</w:t>
      </w:r>
      <w:r>
        <w:t xml:space="preserve"> </w:t>
      </w:r>
      <w:r>
        <w:t xml:space="preserve">Sales</w:t>
      </w:r>
      <w:r>
        <w:t xml:space="preserve"> </w:t>
      </w:r>
      <w:r>
        <w:t xml:space="preserve">Report</w:t>
      </w:r>
      <w:r>
        <w:t xml:space="preserve"> </w:t>
      </w:r>
      <w:r>
        <w:t xml:space="preserve">2023</w:t>
      </w:r>
    </w:p>
    <w:bookmarkStart w:id="26" w:name="X7ab14c54c240a7734dff29f1a34e90eb02dc9f4"/>
    <w:p>
      <w:pPr>
        <w:pStyle w:val="Heading1"/>
      </w:pPr>
      <w:r>
        <w:t xml:space="preserve">Sales Report: Elite Legal Practice in Thailand Bangkok - Driving Growth Through Specialized Counsel</w:t>
      </w:r>
    </w:p>
    <w:p>
      <w:pPr>
        <w:pStyle w:val="FirstParagraph"/>
      </w:pPr>
      <w:r>
        <w:rPr>
          <w:bCs/>
          <w:b/>
        </w:rPr>
        <w:t xml:space="preserve">Prepared For:</w:t>
      </w:r>
      <w:r>
        <w:t xml:space="preserve"> </w:t>
      </w:r>
      <w:r>
        <w:t xml:space="preserve">Management Team, Elite Legal Solutions (ELS)</w:t>
      </w:r>
      <w:r>
        <w:t xml:space="preserve"> </w:t>
      </w:r>
      <w:r>
        <w:rPr>
          <w:bCs/>
          <w:b/>
        </w:rPr>
        <w:t xml:space="preserve">Date:</w:t>
      </w:r>
      <w:r>
        <w:t xml:space="preserve"> </w:t>
      </w:r>
      <w:r>
        <w:t xml:space="preserve">October 26, 2023</w:t>
      </w:r>
      <w:r>
        <w:t xml:space="preserve"> </w:t>
      </w:r>
      <w:r>
        <w:rPr>
          <w:bCs/>
          <w:b/>
        </w:rPr>
        <w:t xml:space="preserve">Location:</w:t>
      </w:r>
      <w:r>
        <w:t xml:space="preserve"> </w:t>
      </w:r>
      <w:r>
        <w:t xml:space="preserve">Thailand Bangkok Office, Rama IV Road District</w:t>
      </w:r>
    </w:p>
    <w:bookmarkStart w:id="20" w:name="i.-executive-summary"/>
    <w:p>
      <w:pPr>
        <w:pStyle w:val="Heading2"/>
      </w:pPr>
      <w:r>
        <w:t xml:space="preserve">I. Executive Summary</w:t>
      </w:r>
    </w:p>
    <w:p>
      <w:pPr>
        <w:pStyle w:val="FirstParagraph"/>
      </w:pPr>
      <w:r>
        <w:t xml:space="preserve">This comprehensive Sales Report details the performance of our premier legal practice in Thailand Bangkok during Q1-Q3 2023. As a leading international law firm with deep roots in the Thai market, our Lawyer team has strategically navigated complex commercial landscapes to deliver exceptional client outcomes. This document underscores how targeted service expansion within Thailand Bangkok has generated sustainable revenue growth, positioning us as the preferred legal partner for multinational corporations and high-net-worth individuals operating in Southeast Asia. The report emphasizes that successful legal sales in Thailand Bangkok require cultural fluency, regulatory expertise, and localized market intelligence – all integral to our Lawyer-centric sales approach.</w:t>
      </w:r>
    </w:p>
    <w:bookmarkEnd w:id="20"/>
    <w:bookmarkStart w:id="21" w:name="Xfe34e5c1610b7b8c15146e540f1dc14c86d8c17"/>
    <w:p>
      <w:pPr>
        <w:pStyle w:val="Heading2"/>
      </w:pPr>
      <w:r>
        <w:t xml:space="preserve">II. Thailand Bangkok Market Analysis &amp; Sales Performance</w:t>
      </w:r>
    </w:p>
    <w:p>
      <w:pPr>
        <w:pStyle w:val="FirstParagraph"/>
      </w:pPr>
      <w:r>
        <w:t xml:space="preserve">The Thailand Bangkok legal sector has demonstrated robust growth (estimated 8.2% YoY increase per Thai Bar Association data), driven by foreign investment in real estate, fintech, and manufacturing sectors. Our Lawyer sales strategy focused on three key segments within Thailand Bangkok:</w:t>
      </w:r>
    </w:p>
    <w:p>
      <w:pPr>
        <w:numPr>
          <w:ilvl w:val="0"/>
          <w:numId w:val="1001"/>
        </w:numPr>
        <w:pStyle w:val="Compact"/>
      </w:pPr>
      <w:r>
        <w:rPr>
          <w:bCs/>
          <w:b/>
        </w:rPr>
        <w:t xml:space="preserve">Commercial Disputes:</w:t>
      </w:r>
      <w:r>
        <w:t xml:space="preserve"> </w:t>
      </w:r>
      <w:r>
        <w:t xml:space="preserve">37% of total engagements (up 22% from 2022), serving clients like Siemens Energy and PTT Global Chemical in high-value contract litigation at the Bangkok Civil Court.</w:t>
      </w:r>
    </w:p>
    <w:p>
      <w:pPr>
        <w:numPr>
          <w:ilvl w:val="0"/>
          <w:numId w:val="1001"/>
        </w:numPr>
        <w:pStyle w:val="Compact"/>
      </w:pPr>
      <w:r>
        <w:rPr>
          <w:bCs/>
          <w:b/>
        </w:rPr>
        <w:t xml:space="preserve">Foreign Investment &amp; Compliance:</w:t>
      </w:r>
      <w:r>
        <w:t xml:space="preserve"> </w:t>
      </w:r>
      <w:r>
        <w:t xml:space="preserve">41% of revenue, addressing Thailand’s Foreign Business Act complexities for firms expanding into Bangkok's Sathorn and Bangrak districts.</w:t>
      </w:r>
    </w:p>
    <w:p>
      <w:pPr>
        <w:pStyle w:val="FirstParagraph"/>
      </w:pPr>
      <w:r>
        <w:t xml:space="preserve">Our Sales Report reveals a 19.3% year-over-year increase in client acquisition within Thailand Bangkok, totaling 64 new engagements (vs. 53 in H1 2022). Critical to this success was our Lawyer team’s ability to leverage local partnerships – including collaboration with Thai Bar Association members and district-level legal support offices across Bangkok's key business zones. Notably, all new clients were secured through referrals or targeted outreach within Thailand Bangkok, confirming the efficacy of our geo-specific sales methodology.</w:t>
      </w:r>
    </w:p>
    <w:bookmarkEnd w:id="21"/>
    <w:bookmarkStart w:id="22" w:name="X15690dcc5c588975e1797b380c0d6452fde3a94"/>
    <w:p>
      <w:pPr>
        <w:pStyle w:val="Heading2"/>
      </w:pPr>
      <w:r>
        <w:t xml:space="preserve">III. Client Acquisition Strategy: The Lawyer Advantage in Thailand Bangkok</w:t>
      </w:r>
    </w:p>
    <w:p>
      <w:pPr>
        <w:pStyle w:val="FirstParagraph"/>
      </w:pPr>
      <w:r>
        <w:t xml:space="preserve">Unlike generic sales approaches, our success stems from a Lawyer-first operational model designed for Thailand’s unique regulatory environment. Key differentiators include:</w:t>
      </w:r>
    </w:p>
    <w:p>
      <w:pPr>
        <w:numPr>
          <w:ilvl w:val="0"/>
          <w:numId w:val="1002"/>
        </w:numPr>
        <w:pStyle w:val="Compact"/>
      </w:pPr>
      <w:r>
        <w:rPr>
          <w:bCs/>
          <w:b/>
        </w:rPr>
        <w:t xml:space="preserve">Cultural Integration:</w:t>
      </w:r>
      <w:r>
        <w:t xml:space="preserve"> </w:t>
      </w:r>
      <w:r>
        <w:t xml:space="preserve">All Lawyers undergo mandatory Thai business etiquette training. For example, our Bangkok team conducted 14 client meetings in Thai during Q3 (vs. 6 in H1), directly contributing to a 30% higher client retention rate among local SMEs.</w:t>
      </w:r>
    </w:p>
    <w:p>
      <w:pPr>
        <w:numPr>
          <w:ilvl w:val="0"/>
          <w:numId w:val="1002"/>
        </w:numPr>
        <w:pStyle w:val="Compact"/>
      </w:pPr>
      <w:r>
        <w:rPr>
          <w:bCs/>
          <w:b/>
        </w:rPr>
        <w:t xml:space="preserve">Location-Specific Service Packages:</w:t>
      </w:r>
      <w:r>
        <w:t xml:space="preserve"> </w:t>
      </w:r>
      <w:r>
        <w:t xml:space="preserve">Tailored solutions for Thailand Bangkok’s business districts: "Sathorn Premium Compliance" (for finance firms near Lumpini Park) and "Rama 9 Tech Startup Legal Shield" (addressing Thai Digital Economy Act requirements).</w:t>
      </w:r>
    </w:p>
    <w:p>
      <w:pPr>
        <w:numPr>
          <w:ilvl w:val="0"/>
          <w:numId w:val="1002"/>
        </w:numPr>
        <w:pStyle w:val="Compact"/>
      </w:pPr>
      <w:r>
        <w:rPr>
          <w:bCs/>
          <w:b/>
        </w:rPr>
        <w:t xml:space="preserve">Digital Sales Enablement:</w:t>
      </w:r>
      <w:r>
        <w:t xml:space="preserve"> </w:t>
      </w:r>
      <w:r>
        <w:t xml:space="preserve">Our Thailand Bangkok office deployed a multilingual client portal with Thai/English interfaces, reducing onboarding time by 40% – a key factor in closing deals with time-sensitive clients from Singapore and Japan.</w:t>
      </w:r>
    </w:p>
    <w:p>
      <w:pPr>
        <w:pStyle w:val="FirstParagraph"/>
      </w:pPr>
      <w:r>
        <w:t xml:space="preserve">The Sales Report highlights that 78% of new clients were acquired through referrals from established Thailand Bangkok-based businesses (e.g., Amata Corporation, Krungthai Bank), proving trust is built on localized expertise – not generic marketing. This directly aligns with our core principle: A Lawyer’s value in Thailand Bangkok is measured by their ability to navigate the interplay between international standards and Thai legal nuances.</w:t>
      </w:r>
    </w:p>
    <w:bookmarkEnd w:id="22"/>
    <w:bookmarkStart w:id="23" w:name="Xd55dc83d69c84bf15179b40a94e5802f20e9532"/>
    <w:p>
      <w:pPr>
        <w:pStyle w:val="Heading2"/>
      </w:pPr>
      <w:r>
        <w:t xml:space="preserve">IV. Challenges &amp; Strategic Responses in Thailand Bangkok</w:t>
      </w:r>
    </w:p>
    <w:p>
      <w:pPr>
        <w:pStyle w:val="FirstParagraph"/>
      </w:pPr>
      <w:r>
        <w:t xml:space="preserve">Despite strong growth, challenges emerged requiring agile sales adaptation:</w:t>
      </w:r>
    </w:p>
    <w:p>
      <w:pPr>
        <w:numPr>
          <w:ilvl w:val="0"/>
          <w:numId w:val="1003"/>
        </w:numPr>
        <w:pStyle w:val="Compact"/>
      </w:pPr>
      <w:r>
        <w:rPr>
          <w:bCs/>
          <w:b/>
        </w:rPr>
        <w:t xml:space="preserve">Regulatory Volatility:</w:t>
      </w:r>
      <w:r>
        <w:t xml:space="preserve"> </w:t>
      </w:r>
      <w:r>
        <w:t xml:space="preserve">New Foreign Lawyer Act amendments (effective Jan 2023) initially caused client hesitation. Our Lawyer team responded by creating a Thailand Bangkok-focused compliance workshop series, converting 67% of hesitant leads into contracts.</w:t>
      </w:r>
    </w:p>
    <w:p>
      <w:pPr>
        <w:numPr>
          <w:ilvl w:val="0"/>
          <w:numId w:val="1003"/>
        </w:numPr>
        <w:pStyle w:val="Compact"/>
      </w:pPr>
      <w:r>
        <w:rPr>
          <w:bCs/>
          <w:b/>
        </w:rPr>
        <w:t xml:space="preserve">Currency Fluctuations:</w:t>
      </w:r>
      <w:r>
        <w:t xml:space="preserve"> </w:t>
      </w:r>
      <w:r>
        <w:t xml:space="preserve">THB volatility impacted budget planning for clients. We introduced fixed-fee structures in USD for Thailand Bangkok-based projects (e.g., $45k for standard commercial dispute packages), improving client trust during market uncertainty.</w:t>
      </w:r>
    </w:p>
    <w:p>
      <w:pPr>
        <w:numPr>
          <w:ilvl w:val="0"/>
          <w:numId w:val="1003"/>
        </w:numPr>
        <w:pStyle w:val="Compact"/>
      </w:pPr>
      <w:r>
        <w:rPr>
          <w:bCs/>
          <w:b/>
        </w:rPr>
        <w:t xml:space="preserve">Competition in Key Niches:</w:t>
      </w:r>
      <w:r>
        <w:t xml:space="preserve"> </w:t>
      </w:r>
      <w:r>
        <w:t xml:space="preserve">Rival firms undercut pricing in immigration services. Our sales team pivoted to emphasizing "Thailand Bangkok End-to-End Visa Management" (including post-arrival support), capturing 15% more market share than competitors.</w:t>
      </w:r>
    </w:p>
    <w:p>
      <w:pPr>
        <w:pStyle w:val="FirstParagraph"/>
      </w:pPr>
      <w:r>
        <w:t xml:space="preserve">Critically, no solution was implemented without input from our Thailand Bangkok-based Lawyer advisors – reinforcing that all sales initiatives must be legally validated before client delivery.</w:t>
      </w:r>
    </w:p>
    <w:bookmarkEnd w:id="23"/>
    <w:bookmarkStart w:id="24" w:name="X82ac24db52bcd995df1d37b4d8d0f54aa9a1411"/>
    <w:p>
      <w:pPr>
        <w:pStyle w:val="Heading2"/>
      </w:pPr>
      <w:r>
        <w:t xml:space="preserve">V. Future Outlook &amp; Sales Roadmap for Thailand Bangkok</w:t>
      </w:r>
    </w:p>
    <w:p>
      <w:pPr>
        <w:pStyle w:val="FirstParagraph"/>
      </w:pPr>
      <w:r>
        <w:t xml:space="preserve">Based on this Sales Report, we project 25% revenue growth in Thailand Bangkok by Q4 2023, driven by:</w:t>
      </w:r>
    </w:p>
    <w:p>
      <w:pPr>
        <w:numPr>
          <w:ilvl w:val="0"/>
          <w:numId w:val="1004"/>
        </w:numPr>
        <w:pStyle w:val="Compact"/>
      </w:pPr>
      <w:r>
        <w:rPr>
          <w:bCs/>
          <w:b/>
        </w:rPr>
        <w:t xml:space="preserve">Expansion into Emerging Sectors:</w:t>
      </w:r>
      <w:r>
        <w:t xml:space="preserve"> </w:t>
      </w:r>
      <w:r>
        <w:t xml:space="preserve">Targeting EV manufacturing (e.g., Tesla supply chain partners) and AI compliance services – both accelerating in Thailand Bangkok's Eastern Economic Corridor.</w:t>
      </w:r>
    </w:p>
    <w:p>
      <w:pPr>
        <w:numPr>
          <w:ilvl w:val="0"/>
          <w:numId w:val="1004"/>
        </w:numPr>
        <w:pStyle w:val="Compact"/>
      </w:pPr>
      <w:r>
        <w:rPr>
          <w:bCs/>
          <w:b/>
        </w:rPr>
        <w:t xml:space="preserve">Sustainability Focus:</w:t>
      </w:r>
      <w:r>
        <w:t xml:space="preserve"> </w:t>
      </w:r>
      <w:r>
        <w:t xml:space="preserve">Launching "Green Business Legal Compliance" packages to address Thailand’s new ESG regulations, a priority for multinational HQs based in Bangkok.</w:t>
      </w:r>
    </w:p>
    <w:p>
      <w:pPr>
        <w:numPr>
          <w:ilvl w:val="0"/>
          <w:numId w:val="1004"/>
        </w:numPr>
        <w:pStyle w:val="Compact"/>
      </w:pPr>
      <w:r>
        <w:rPr>
          <w:bCs/>
          <w:b/>
        </w:rPr>
        <w:t xml:space="preserve">Digital Transformation:</w:t>
      </w:r>
      <w:r>
        <w:t xml:space="preserve"> </w:t>
      </w:r>
      <w:r>
        <w:t xml:space="preserve">Implementing AI-powered legal analytics tools specific to Thailand Bangkok court data (e.g., predicting case timelines at the Bangkok Intellectual Property and International Trade Court).</w:t>
      </w:r>
    </w:p>
    <w:p>
      <w:pPr>
        <w:pStyle w:val="FirstParagraph"/>
      </w:pPr>
      <w:r>
        <w:t xml:space="preserve">Our sales strategy remains anchored to Thailand’s unique needs: Every Lawyer engagement is framed as a strategic partnership, not a transaction. As demonstrated in our Sales Report, this approach has made us the top-choice legal provider for 8 of the top 10 Fortune 500 companies operating in Thailand Bangkok – an achievement validated by client satisfaction scores of 4.8/5.0 (vs. industry average of 3.9).</w:t>
      </w:r>
    </w:p>
    <w:bookmarkEnd w:id="24"/>
    <w:bookmarkStart w:id="25" w:name="Xc7334f5669954aef1b618589fdd1f0dace8eefd"/>
    <w:p>
      <w:pPr>
        <w:pStyle w:val="Heading2"/>
      </w:pPr>
      <w:r>
        <w:t xml:space="preserve">VI. Conclusion: The Lawyer as Sales Catalyst in Thailand Bangkok</w:t>
      </w:r>
    </w:p>
    <w:p>
      <w:pPr>
        <w:pStyle w:val="FirstParagraph"/>
      </w:pPr>
      <w:r>
        <w:t xml:space="preserve">This Sales Report conclusively demonstrates that sustainable growth in the Thailand Bangkok legal market is inseparable from the strategic deployment of specialized Lawyer expertise. Unlike transactional sales models, our approach recognizes that a Lawyer’s credibility within Thailand’s business ecosystem is the true driver of acquisition and retention. The data confirms: When sales teams collaborate with Lawyers who understand Bangkok’s district-level regulations, cultural nuances, and economic pulse (e.g., distinguishing between Sukhumvit-based tech firms and Ratchawong retail conglomerates), revenue growth becomes predictable – not opportunistic.</w:t>
      </w:r>
    </w:p>
    <w:p>
      <w:pPr>
        <w:pStyle w:val="BodyText"/>
      </w:pPr>
      <w:r>
        <w:t xml:space="preserve">For Thailand Bangkok, where legal complexity meets exponential business growth, this Sales Report underscores a fundamental truth: The most successful Lawyer practices don’t just provide counsel; they engineer sales momentum through jurisdictional mastery. Our commitment to embedding Lawyer insights into every sales initiative ensures that Elite Legal Solutions will remain the cornerstone of international business success in Thailand Bangkok – not merely a service provider, but the strategic partner that turns legal risk into competitive advantage.</w:t>
      </w:r>
    </w:p>
    <w:p>
      <w:pPr>
        <w:pStyle w:val="BodyText"/>
      </w:pPr>
      <w:r>
        <w:rPr>
          <w:bCs/>
          <w:b/>
        </w:rPr>
        <w:t xml:space="preserve">Prepared By:</w:t>
      </w:r>
      <w:r>
        <w:t xml:space="preserve"> </w:t>
      </w:r>
      <w:r>
        <w:t xml:space="preserve">International Business Development Team, Elite Legal Solutions</w:t>
      </w:r>
      <w:r>
        <w:t xml:space="preserve"> </w:t>
      </w:r>
      <w:r>
        <w:rPr>
          <w:bCs/>
          <w:b/>
        </w:rPr>
        <w:t xml:space="preserve">Contact:</w:t>
      </w:r>
      <w:r>
        <w:t xml:space="preserve"> </w:t>
      </w:r>
      <w:r>
        <w:t xml:space="preserve">Bangkok.sales@elis-thailand.com | +66 2 123 4567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Thailand Bangkok Lawyer Sales Report 2023</dc:title>
  <dc:creator/>
  <cp:keywords/>
  <dcterms:created xsi:type="dcterms:W3CDTF">2026-07-24T03:53:39Z</dcterms:created>
  <dcterms:modified xsi:type="dcterms:W3CDTF">2026-07-24T03:53:39Z</dcterms:modified>
</cp:coreProperties>
</file>

<file path=docProps/custom.xml><?xml version="1.0" encoding="utf-8"?>
<Properties xmlns="http://schemas.openxmlformats.org/officeDocument/2006/custom-properties" xmlns:vt="http://schemas.openxmlformats.org/officeDocument/2006/docPropsVTypes"/>
</file>