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9b77807576e310cd22a6236d91be5c8486a15b3"/>
    <w:p>
      <w:pPr>
        <w:pStyle w:val="Heading1"/>
      </w:pPr>
      <w:r>
        <w:t xml:space="preserve">Comprehensive Sales Performance Report: Premium Legal Services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Prepared By:</w:t>
      </w:r>
      <w:r>
        <w:t xml:space="preserve"> </w:t>
      </w:r>
      <w:r>
        <w:t xml:space="preserve">Client Acquisition &amp; Business Development Division</w:t>
      </w:r>
    </w:p>
    <w:bookmarkStart w:id="20" w:name="i.-executive-summary"/>
    <w:p>
      <w:pPr>
        <w:pStyle w:val="Heading2"/>
      </w:pPr>
      <w:r>
        <w:t xml:space="preserve">I. Executive Summary</w:t>
      </w:r>
    </w:p>
    <w:p>
      <w:pPr>
        <w:pStyle w:val="FirstParagraph"/>
      </w:pPr>
      <w:r>
        <w:t xml:space="preserve">This Sales Report provides a detailed analysis of legal service performance across the Ankara market, Turkey. As the premier law firm serving corporate and individual clients in Turkey Ankara, we achieved remarkable growth during Q3 2023 with a 17.5% increase in revenue compared to Q2. This success stems from strategic positioning as an indispensable</w:t>
      </w:r>
      <w:r>
        <w:t xml:space="preserve"> </w:t>
      </w:r>
      <w:r>
        <w:rPr>
          <w:bCs/>
          <w:b/>
        </w:rPr>
        <w:t xml:space="preserve">Lawyer</w:t>
      </w:r>
      <w:r>
        <w:t xml:space="preserve"> </w:t>
      </w:r>
      <w:r>
        <w:t xml:space="preserve">partner for businesses navigating Turkey's evolving legal landscape. The report confirms Ankara's status as Turkey's legal services hub, where our firm maintains a 34% market share among premium corporate law practices.</w:t>
      </w:r>
    </w:p>
    <w:bookmarkEnd w:id="20"/>
    <w:bookmarkStart w:id="21" w:name="Xd8d71d90ccd5abaac1cf12297f9b0e17ec7b16f"/>
    <w:p>
      <w:pPr>
        <w:pStyle w:val="Heading2"/>
      </w:pPr>
      <w:r>
        <w:t xml:space="preserve">II. Market Context: Turkey Ankara Legal Landscape</w:t>
      </w:r>
    </w:p>
    <w:p>
      <w:pPr>
        <w:pStyle w:val="FirstParagraph"/>
      </w:pPr>
      <w:r>
        <w:t xml:space="preserve">Ankara remains the epicenter of legislative activity in Turkey, housing the Constitutional Court, Supreme Court of Appeals, and Ministry of Justice. This concentration creates unique opportunities for legal practitioners. Our Sales Report analysis reveals that 68% of corporate clients in Turkey Ankara prioritize firms with deep local expertise—particularly regarding municipal regulations, state procurement laws (Law No. 4734), and foreign investment compliance (Law No. 4881). The market grew by 12% YoY in Q3 due to increased foreign direct investment into Ankara's tech corridors and government infrastructure projects.</w:t>
      </w:r>
    </w:p>
    <w:p>
      <w:pPr>
        <w:pStyle w:val="BodyText"/>
      </w:pPr>
      <w:r>
        <w:t xml:space="preserve">Crucially, our firm's positioning as a solutions-oriented</w:t>
      </w:r>
      <w:r>
        <w:t xml:space="preserve"> </w:t>
      </w:r>
      <w:r>
        <w:rPr>
          <w:bCs/>
          <w:b/>
        </w:rPr>
        <w:t xml:space="preserve">Lawyer</w:t>
      </w:r>
      <w:r>
        <w:t xml:space="preserve">, not merely an advisor, directly addresses client pain points. In Turkey Ankara, businesses increasingly seek proactive legal counsel rather than reactive crisis management—evidenced by our 42% rise in retainer agreements with local manufacturers and construction firms.</w:t>
      </w:r>
    </w:p>
    <w:bookmarkEnd w:id="21"/>
    <w:bookmarkStart w:id="22" w:name="X6c476fda3968ae35df225dddb6b8f7a6c710887"/>
    <w:p>
      <w:pPr>
        <w:pStyle w:val="Heading2"/>
      </w:pPr>
      <w:r>
        <w:t xml:space="preserve">III. Q3 2023 Sales Performance (Turkey Ankara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(TRY)</w:t>
            </w:r>
          </w:p>
        </w:tc>
        <w:tc>
          <w:tcPr/>
          <w:p>
            <w:pPr>
              <w:pStyle w:val="Compact"/>
              <w:jc w:val="left"/>
            </w:pPr>
            <w:r>
              <w:t xml:space="preserve">% of Total</w:t>
            </w:r>
          </w:p>
        </w:tc>
        <w:tc>
          <w:tcPr/>
          <w:p>
            <w:pPr>
              <w:pStyle w:val="Compact"/>
              <w:jc w:val="left"/>
            </w:pPr>
            <w:r>
              <w:t xml:space="preserve">% Change vs Q2</w:t>
            </w:r>
          </w:p>
        </w:tc>
      </w:tr>
      <w:tr>
        <w:tc>
          <w:tcPr/>
          <w:p>
            <w:pPr>
              <w:pStyle w:val="Compact"/>
              <w:jc w:val="left"/>
            </w:pPr>
            <w:r>
              <w:t xml:space="preserve">Corporate Compliance (Ankara-specific)</w:t>
            </w:r>
          </w:p>
        </w:tc>
        <w:tc>
          <w:tcPr/>
          <w:p>
            <w:pPr>
              <w:pStyle w:val="Compact"/>
              <w:jc w:val="left"/>
            </w:pPr>
            <w:r>
              <w:t xml:space="preserve">4,287,000</w:t>
            </w:r>
          </w:p>
        </w:tc>
        <w:tc>
          <w:tcPr/>
          <w:p>
            <w:pPr>
              <w:pStyle w:val="Compact"/>
              <w:jc w:val="left"/>
            </w:pPr>
            <w:r>
              <w:t xml:space="preserve">39.1%</w:t>
            </w:r>
          </w:p>
        </w:tc>
        <w:tc>
          <w:tcPr/>
          <w:p>
            <w:pPr>
              <w:pStyle w:val="Compact"/>
              <w:jc w:val="left"/>
            </w:pPr>
            <w:r>
              <w:t xml:space="preserve">+21.3%</w:t>
            </w:r>
          </w:p>
        </w:tc>
      </w:tr>
      <w:tr>
        <w:tc>
          <w:tcPr/>
          <w:p>
            <w:pPr>
              <w:pStyle w:val="Compact"/>
              <w:jc w:val="left"/>
            </w:pPr>
            <w:r>
              <w:t xml:space="preserve">Mergers &amp; Acquisitions</w:t>
            </w:r>
          </w:p>
        </w:tc>
        <w:tc>
          <w:tcPr/>
          <w:p>
            <w:pPr>
              <w:pStyle w:val="Compact"/>
              <w:jc w:val="left"/>
            </w:pPr>
            <w:r>
              <w:t xml:space="preserve">3,156,200</w:t>
            </w:r>
          </w:p>
        </w:tc>
        <w:tc>
          <w:tcPr/>
          <w:p>
            <w:pPr>
              <w:pStyle w:val="Compact"/>
              <w:jc w:val="left"/>
            </w:pPr>
            <w:r>
              <w:t xml:space="preserve">28.9%</w:t>
            </w:r>
          </w:p>
        </w:tc>
        <w:tc>
          <w:tcPr/>
          <w:p>
            <w:pPr>
              <w:pStyle w:val="Compact"/>
              <w:jc w:val="left"/>
            </w:pPr>
            <w:r>
              <w:t xml:space="preserve">+14.7%</w:t>
            </w:r>
          </w:p>
        </w:tc>
      </w:tr>
      <w:tr>
        <w:tc>
          <w:tcPr/>
          <w:p>
            <w:pPr>
              <w:pStyle w:val="Compact"/>
              <w:jc w:val="left"/>
            </w:pPr>
            <w:r>
              <w:t xml:space="preserve">Civil Litigation (Ankara Courts)</w:t>
            </w:r>
          </w:p>
        </w:tc>
        <w:tc>
          <w:tcPr/>
          <w:p>
            <w:pPr>
              <w:pStyle w:val="Compact"/>
              <w:jc w:val="left"/>
            </w:pPr>
            <w:r>
              <w:t xml:space="preserve">2,845,500</w:t>
            </w:r>
          </w:p>
        </w:tc>
        <w:tc>
          <w:tcPr/>
          <w:p>
            <w:pPr>
              <w:pStyle w:val="Compact"/>
              <w:jc w:val="left"/>
            </w:pPr>
            <w:r>
              <w:t xml:space="preserve">26.1%</w:t>
            </w:r>
          </w:p>
        </w:tc>
        <w:tc>
          <w:tcPr/>
          <w:p>
            <w:pPr>
              <w:pStyle w:val="Compact"/>
              <w:jc w:val="left"/>
            </w:pPr>
            <w:r>
              <w:t xml:space="preserve">+19.2%</w:t>
            </w:r>
          </w:p>
        </w:tc>
      </w:tr>
      <w:tr>
        <w:tc>
          <w:tcPr/>
          <w:p>
            <w:pPr>
              <w:pStyle w:val="Compact"/>
              <w:jc w:val="left"/>
            </w:pPr>
            <w:r>
              <w:t xml:space="preserve">Intellectual Property</w:t>
            </w:r>
          </w:p>
        </w:tc>
        <w:tc>
          <w:tcPr/>
          <w:p>
            <w:pPr>
              <w:pStyle w:val="Compact"/>
              <w:jc w:val="left"/>
            </w:pPr>
            <w:r>
              <w:t xml:space="preserve">783,300</w:t>
            </w:r>
          </w:p>
        </w:tc>
        <w:tc>
          <w:tcPr/>
          <w:p>
            <w:pPr>
              <w:pStyle w:val="Compact"/>
              <w:jc w:val="left"/>
            </w:pPr>
            <w:r>
              <w:t xml:space="preserve">7.1%</w:t>
            </w:r>
          </w:p>
        </w:tc>
        <w:tc>
          <w:tcPr/>
          <w:p>
            <w:pPr>
              <w:pStyle w:val="Compact"/>
              <w:jc w:val="left"/>
            </w:pPr>
            <w:r>
              <w:t xml:space="preserve">+8.4%</w:t>
            </w:r>
          </w:p>
        </w:tc>
      </w:tr>
    </w:tbl>
    <w:p>
      <w:pPr>
        <w:pStyle w:val="BodyText"/>
      </w:pPr>
      <w:r>
        <w:t xml:space="preserve">The Ankara-specific corporate compliance segment drove exceptional growth (21.3%), directly attributable to our specialized</w:t>
      </w:r>
      <w:r>
        <w:t xml:space="preserve"> </w:t>
      </w:r>
      <w:r>
        <w:rPr>
          <w:bCs/>
          <w:b/>
        </w:rPr>
        <w:t xml:space="preserve">Lawyer</w:t>
      </w:r>
      <w:r>
        <w:t xml:space="preserve"> </w:t>
      </w:r>
      <w:r>
        <w:t xml:space="preserve">teams navigating the new Energy Efficiency Law and Tax Authority Circular 2023/18. Our success in securing three major government contract disputes for local engineering firms at Ankara's 1st Civil Court of First Instance demonstrates how localized legal expertise converts into revenue.</w:t>
      </w:r>
    </w:p>
    <w:bookmarkEnd w:id="22"/>
    <w:bookmarkStart w:id="23" w:name="iv.-key-strategic-achievements"/>
    <w:p>
      <w:pPr>
        <w:pStyle w:val="Heading2"/>
      </w:pPr>
      <w:r>
        <w:t xml:space="preserve">IV. Key Strategic Achievements</w:t>
      </w:r>
    </w:p>
    <w:p>
      <w:pPr>
        <w:pStyle w:val="FirstParagraph"/>
      </w:pPr>
      <w:r>
        <w:rPr>
          <w:bCs/>
          <w:b/>
        </w:rPr>
        <w:t xml:space="preserve">1. Market Leadership in Ankara:</w:t>
      </w:r>
      <w:r>
        <w:t xml:space="preserve"> </w:t>
      </w:r>
      <w:r>
        <w:t xml:space="preserve">We maintained the highest client retention rate (96%) among all law firms in Turkey Ankara, exceeding industry average by 31%. This was achieved through our "Ankara Legal Health Check" service—proactive compliance audits for businesses operating across the capital region.</w:t>
      </w:r>
    </w:p>
    <w:p>
      <w:pPr>
        <w:pStyle w:val="BodyText"/>
      </w:pPr>
      <w:r>
        <w:rPr>
          <w:bCs/>
          <w:b/>
        </w:rPr>
        <w:t xml:space="preserve">2. Foreign Client Acquisition:</w:t>
      </w:r>
      <w:r>
        <w:t xml:space="preserve"> </w:t>
      </w:r>
      <w:r>
        <w:t xml:space="preserve">Secured 14 new international clients from Germany, UAE, and USA seeking representation in Turkey Ankara. These accounts contributed 28% of Q3's new revenue growth—validating our global reach within local context. A key example: We successfully facilitated a €12M investment for a German automotive supplier into Ankara's industrial park, navigating complex land use regulations.</w:t>
      </w:r>
    </w:p>
    <w:p>
      <w:pPr>
        <w:pStyle w:val="BodyText"/>
      </w:pPr>
      <w:r>
        <w:rPr>
          <w:bCs/>
          <w:b/>
        </w:rPr>
        <w:t xml:space="preserve">3. Digital Transformation:</w:t>
      </w:r>
      <w:r>
        <w:t xml:space="preserve"> </w:t>
      </w:r>
      <w:r>
        <w:t xml:space="preserve">Launched "Ankara Legal Connect," an online portal allowing clients to track case progress in real-time through Ankara's judicial system APIs. This reduced administrative costs by 27% and increased client satisfaction scores (4.8/5) in our post-engagement surveys.</w:t>
      </w:r>
    </w:p>
    <w:bookmarkEnd w:id="23"/>
    <w:bookmarkStart w:id="24" w:name="X4299a049eefc41af9d5df3dd0321e9eca3733c0"/>
    <w:p>
      <w:pPr>
        <w:pStyle w:val="Heading2"/>
      </w:pPr>
      <w:r>
        <w:t xml:space="preserve">V. Critical Challenges &amp; Mitigation Strategies</w:t>
      </w:r>
    </w:p>
    <w:p>
      <w:pPr>
        <w:pStyle w:val="FirstParagraph"/>
      </w:pPr>
      <w:r>
        <w:rPr>
          <w:bCs/>
          <w:b/>
        </w:rPr>
        <w:t xml:space="preserve">Challenge: Regulatory Volatility</w:t>
      </w:r>
      <w:r>
        <w:t xml:space="preserve"> </w:t>
      </w:r>
      <w:r>
        <w:t xml:space="preserve">Turkey's rapidly changing legal environment (e.g., new commercial law amendments in August 2023) created uncertainty for clients.</w:t>
      </w:r>
      <w:r>
        <w:t xml:space="preserve"> </w:t>
      </w:r>
      <w:r>
        <w:rPr>
          <w:bCs/>
          <w:b/>
        </w:rPr>
        <w:t xml:space="preserve">Solution:</w:t>
      </w:r>
      <w:r>
        <w:t xml:space="preserve"> </w:t>
      </w:r>
      <w:r>
        <w:t xml:space="preserve">Implemented weekly Ankara Legal Briefings delivered by our lead</w:t>
      </w:r>
      <w:r>
        <w:t xml:space="preserve"> </w:t>
      </w:r>
      <w:r>
        <w:rPr>
          <w:bCs/>
          <w:b/>
        </w:rPr>
        <w:t xml:space="preserve">Lawyer</w:t>
      </w:r>
      <w:r>
        <w:t xml:space="preserve">, Dr. Elif Yılmaz, reaching 157 clients with actionable insights. This service directly prevented potential compliance breaches for 32 corporate clients, safeguarding revenue.</w:t>
      </w:r>
    </w:p>
    <w:p>
      <w:pPr>
        <w:pStyle w:val="BodyText"/>
      </w:pPr>
      <w:r>
        <w:rPr>
          <w:bCs/>
          <w:b/>
        </w:rPr>
        <w:t xml:space="preserve">Challenge: Talent Competition</w:t>
      </w:r>
      <w:r>
        <w:t xml:space="preserve"> </w:t>
      </w:r>
      <w:r>
        <w:t xml:space="preserve">Rising demand for specialized lawyers in Ankara created a 22% salary inflation in the legal sector.</w:t>
      </w:r>
      <w:r>
        <w:t xml:space="preserve"> </w:t>
      </w:r>
      <w:r>
        <w:rPr>
          <w:bCs/>
          <w:b/>
        </w:rPr>
        <w:t xml:space="preserve">Solution:</w:t>
      </w:r>
      <w:r>
        <w:t xml:space="preserve"> </w:t>
      </w:r>
      <w:r>
        <w:t xml:space="preserve">Launched the "Ankara Legal Fellowship," recruiting top graduates from Ankara University's Law Faculty with 15% higher retention rates than market average.</w:t>
      </w:r>
    </w:p>
    <w:bookmarkEnd w:id="24"/>
    <w:bookmarkStart w:id="25" w:name="Xe31a6aeec5dad22ccf73d8149e7a12794e844c2"/>
    <w:p>
      <w:pPr>
        <w:pStyle w:val="Heading2"/>
      </w:pPr>
      <w:r>
        <w:t xml:space="preserve">VI. Strategic Recommendations for Q4 2023</w:t>
      </w:r>
    </w:p>
    <w:p>
      <w:pPr>
        <w:pStyle w:val="FirstParagraph"/>
      </w:pPr>
      <w:r>
        <w:rPr>
          <w:bCs/>
          <w:b/>
        </w:rPr>
        <w:t xml:space="preserve">1. Expand Government Relations Focus:</w:t>
      </w:r>
      <w:r>
        <w:t xml:space="preserve"> </w:t>
      </w:r>
      <w:r>
        <w:t xml:space="preserve">Allocate resources to build relationships with Ankara Metropolitan Municipality and Ministry of Transport legal departments. This directly addresses 58% of unmet client needs identified in our Q3 survey.</w:t>
      </w:r>
    </w:p>
    <w:p>
      <w:pPr>
        <w:pStyle w:val="BodyText"/>
      </w:pPr>
      <w:r>
        <w:rPr>
          <w:bCs/>
          <w:b/>
        </w:rPr>
        <w:t xml:space="preserve">2. Target High-Growth Sectors:</w:t>
      </w:r>
      <w:r>
        <w:t xml:space="preserve"> </w:t>
      </w:r>
      <w:r>
        <w:t xml:space="preserve">Prioritize healthcare law services (Ankara's medical sector grew 19% YoY) and renewable energy projects (Ankara is Turkey's top solar investment zone). Our current market share in these areas is below 15%—significant upside potential.</w:t>
      </w:r>
    </w:p>
    <w:p>
      <w:pPr>
        <w:pStyle w:val="BodyText"/>
      </w:pPr>
      <w:r>
        <w:rPr>
          <w:bCs/>
          <w:b/>
        </w:rPr>
        <w:t xml:space="preserve">3. Enhance Client Onboarding:</w:t>
      </w:r>
      <w:r>
        <w:t xml:space="preserve"> </w:t>
      </w:r>
      <w:r>
        <w:t xml:space="preserve">Develop a standardized "Ankara Legal Starter Pack" for new clients, including jurisdiction-specific compliance checklists and Ankara court procedural guides. This reduces initial engagement friction by 30%, accelerating revenue recognition.</w:t>
      </w:r>
    </w:p>
    <w:bookmarkEnd w:id="25"/>
    <w:bookmarkStart w:id="26" w:name="vii.-conclusion"/>
    <w:p>
      <w:pPr>
        <w:pStyle w:val="Heading2"/>
      </w:pPr>
      <w:r>
        <w:t xml:space="preserve">VII. Conclusion</w:t>
      </w:r>
    </w:p>
    <w:p>
      <w:pPr>
        <w:pStyle w:val="FirstParagraph"/>
      </w:pPr>
      <w:r>
        <w:t xml:space="preserve">This Sales Report unequivocally demonstrates that our firm's strategic focus on Turkey Ankara as both a geographic and legal ecosystem has yielded exceptional results. The data confirms that clients in this market do not merely seek legal representation—they demand a trusted</w:t>
      </w:r>
      <w:r>
        <w:t xml:space="preserve"> </w:t>
      </w:r>
      <w:r>
        <w:rPr>
          <w:bCs/>
          <w:b/>
        </w:rPr>
        <w:t xml:space="preserve">Lawyer</w:t>
      </w:r>
      <w:r>
        <w:t xml:space="preserve"> </w:t>
      </w:r>
      <w:r>
        <w:t xml:space="preserve">who understands Ankara's unique regulatory pulse. Our 17.5% revenue growth is not an anomaly but the result of deep-rooted local expertise, proactive service design, and unwavering commitment to Turkey Ankara's evolving business landscape.</w:t>
      </w:r>
    </w:p>
    <w:p>
      <w:pPr>
        <w:pStyle w:val="BodyText"/>
      </w:pPr>
      <w:r>
        <w:t xml:space="preserve">Looking ahead, we project Q4 revenue to reach TRY 15.2M—a 23% YoY increase—by capitalizing on our market position as the preeminent legal partner for businesses operating within Turkey Ankara. The success of this Sales Report hinges not on transaction volume alone, but on how effectively we position every case as a strategic asset for our clients' growth in Ankara. As the heart of Turkey's legislative machinery, this city demands more than legal acumen; it requires partners who navigate its complexities with precision and foresight.</w:t>
      </w:r>
    </w:p>
    <w:p>
      <w:pPr>
        <w:pStyle w:val="BodyText"/>
      </w:pPr>
      <w:r>
        <w:rPr>
          <w:bCs/>
          <w:b/>
        </w:rPr>
        <w:t xml:space="preserve">Final Note:</w:t>
      </w:r>
      <w:r>
        <w:t xml:space="preserve"> </w:t>
      </w:r>
      <w:r>
        <w:t xml:space="preserve">All revenue metrics and market data herein are sourced from Ankara Bar Association (2023) and our firm's internal CRM tracking system. This Sales Report serves as the foundation for our 2024 business strategy in Turkey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Turkey Ankara</dc:title>
  <dc:creator/>
  <dc:language>en</dc:language>
  <cp:keywords/>
  <dcterms:created xsi:type="dcterms:W3CDTF">2026-07-21T02:46:48Z</dcterms:created>
  <dcterms:modified xsi:type="dcterms:W3CDTF">2026-07-21T02:46:48Z</dcterms:modified>
</cp:coreProperties>
</file>

<file path=docProps/custom.xml><?xml version="1.0" encoding="utf-8"?>
<Properties xmlns="http://schemas.openxmlformats.org/officeDocument/2006/custom-properties" xmlns:vt="http://schemas.openxmlformats.org/officeDocument/2006/docPropsVTypes"/>
</file>