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7" w:name="X915e7132ad9aae5102e0d7482011d63635a2de5"/>
    <w:p>
      <w:pPr>
        <w:pStyle w:val="Heading1"/>
      </w:pPr>
      <w:r>
        <w:t xml:space="preserve">Sales Report: Comprehensive Analysis of Legal Service Performance in Turkey Istanbul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Legal Partners</w:t>
      </w:r>
      <w:r>
        <w:br/>
      </w:r>
      <w:r>
        <w:rPr>
          <w:bCs/>
          <w:b/>
        </w:rPr>
        <w:t xml:space="preserve">Reporting Period:</w:t>
      </w:r>
      <w:r>
        <w:t xml:space="preserve"> </w:t>
      </w:r>
      <w:r>
        <w:t xml:space="preserve">January 1 – September 30, 2023</w:t>
      </w:r>
    </w:p>
    <w:bookmarkStart w:id="20" w:name="executive-summary"/>
    <w:p>
      <w:pPr>
        <w:pStyle w:val="Heading2"/>
      </w:pPr>
      <w:r>
        <w:t xml:space="preserve">Executive Summary</w:t>
      </w:r>
    </w:p>
    <w:p>
      <w:pPr>
        <w:pStyle w:val="FirstParagraph"/>
      </w:pPr>
      <w:r>
        <w:t xml:space="preserve">This Sales Report details the performance of our legal service operations across Turkey Istanbul during the first nine months of 2023. As a premier legal services provider operating within Turkey Istanbul's dynamic jurisdiction, we have witnessed significant growth in client acquisition and case resolution metrics. The report underscores how strategic localization, adherence to Turkish legal frameworks, and tailored service delivery have positioned our</w:t>
      </w:r>
      <w:r>
        <w:t xml:space="preserve"> </w:t>
      </w:r>
      <w:r>
        <w:rPr>
          <w:bCs/>
          <w:b/>
        </w:rPr>
        <w:t xml:space="preserve">Lawyer</w:t>
      </w:r>
      <w:r>
        <w:t xml:space="preserve"> </w:t>
      </w:r>
      <w:r>
        <w:t xml:space="preserve">team as a trusted partner for both domestic and international businesses navigating the complexities of</w:t>
      </w:r>
      <w:r>
        <w:t xml:space="preserve"> </w:t>
      </w:r>
      <w:r>
        <w:rPr>
          <w:bCs/>
          <w:b/>
        </w:rPr>
        <w:t xml:space="preserve">Turkey Istanbul</w:t>
      </w:r>
      <w:r>
        <w:t xml:space="preserve">'s legal ecosystem. Despite regional economic fluctuations, our firm has achieved a 28% year-over-year increase in revenue from legal engagements, directly attributable to our focus on client-centric solutions within the Istanbul market.</w:t>
      </w:r>
    </w:p>
    <w:bookmarkEnd w:id="20"/>
    <w:bookmarkStart w:id="21" w:name="X87f25fa613f27860d7e698517d2b234617a6b0c"/>
    <w:p>
      <w:pPr>
        <w:pStyle w:val="Heading2"/>
      </w:pPr>
      <w:r>
        <w:t xml:space="preserve">Market Context: Turkey Istanbul's Legal Landscape</w:t>
      </w:r>
    </w:p>
    <w:p>
      <w:pPr>
        <w:pStyle w:val="FirstParagraph"/>
      </w:pPr>
      <w:r>
        <w:t xml:space="preserve">Istanbul remains the commercial and legal epicenter of Turkey, accounting for over 45% of all high-value civil and commercial disputes in the country. The Turkish judiciary, particularly the Istanbul Commercial Court and Istanbul Arbitration Center, handles a substantial volume of international contracts, intellectual property disputes, and corporate restructuring cases. As a</w:t>
      </w:r>
      <w:r>
        <w:t xml:space="preserve"> </w:t>
      </w:r>
      <w:r>
        <w:rPr>
          <w:bCs/>
          <w:b/>
        </w:rPr>
        <w:t xml:space="preserve">Lawyer</w:t>
      </w:r>
      <w:r>
        <w:t xml:space="preserve"> </w:t>
      </w:r>
      <w:r>
        <w:t xml:space="preserve">serving this market, our firm has prioritized deep integration with local legal procedures—understanding nuances such as the 2019 Turkish Code of Civil Procedure amendments and Istanbul's unique business registries. This contextual mastery is critical for delivering effective services in</w:t>
      </w:r>
      <w:r>
        <w:t xml:space="preserve"> </w:t>
      </w:r>
      <w:r>
        <w:rPr>
          <w:bCs/>
          <w:b/>
        </w:rPr>
        <w:t xml:space="preserve">Turkey Istanbul</w:t>
      </w:r>
      <w:r>
        <w:t xml:space="preserve">, where foreign firms often face challenges due to language barriers or unfamiliarity with regional court protocols.</w:t>
      </w:r>
    </w:p>
    <w:bookmarkEnd w:id="21"/>
    <w:bookmarkStart w:id="22" w:name="sales-performance-breakdown"/>
    <w:p>
      <w:pPr>
        <w:pStyle w:val="Heading2"/>
      </w:pPr>
      <w:r>
        <w:t xml:space="preserve">Sales Performance Breakdown</w:t>
      </w:r>
    </w:p>
    <w:p>
      <w:pPr>
        <w:pStyle w:val="FirstParagraph"/>
      </w:pPr>
      <w:r>
        <w:rPr>
          <w:bCs/>
          <w:b/>
        </w:rPr>
        <w:t xml:space="preserve">Revenue Growth:</w:t>
      </w:r>
      <w:r>
        <w:t xml:space="preserve"> </w:t>
      </w:r>
      <w:r>
        <w:t xml:space="preserve">Total revenue from legal services reached $1.85M (USD), a 28% increase from $1.45M in Q3 2022. The primary drivers were high-value commercial litigation retainers (up 37%) and corporate compliance packages (up 41%).</w:t>
      </w:r>
    </w:p>
    <w:p>
      <w:pPr>
        <w:pStyle w:val="BodyText"/>
      </w:pPr>
      <w:r>
        <w:rPr>
          <w:bCs/>
          <w:b/>
        </w:rPr>
        <w:t xml:space="preserve">Client Acquisition:</w:t>
      </w:r>
      <w:r>
        <w:t xml:space="preserve"> </w:t>
      </w:r>
      <w:r>
        <w:t xml:space="preserve">New client acquisition surged by 35%, with a notable shift toward multinational corporations establishing regional headquarters in Istanbul. Key sectors include:</w:t>
      </w:r>
    </w:p>
    <w:p>
      <w:pPr>
        <w:numPr>
          <w:ilvl w:val="0"/>
          <w:numId w:val="1001"/>
        </w:numPr>
        <w:pStyle w:val="Compact"/>
      </w:pPr>
      <w:r>
        <w:t xml:space="preserve">Technology &amp; Fintech: 28% of new clients (e.g., EU-based SaaS companies navigating Turkey’s Data Protection Law)</w:t>
      </w:r>
    </w:p>
    <w:p>
      <w:pPr>
        <w:numPr>
          <w:ilvl w:val="0"/>
          <w:numId w:val="1001"/>
        </w:numPr>
        <w:pStyle w:val="Compact"/>
      </w:pPr>
      <w:r>
        <w:t xml:space="preserve">Real Estate &amp; Construction: 24% (post-urban development boom in Istanbul, requiring lease dispute resolution)</w:t>
      </w:r>
    </w:p>
    <w:p>
      <w:pPr>
        <w:numPr>
          <w:ilvl w:val="0"/>
          <w:numId w:val="1001"/>
        </w:numPr>
        <w:pStyle w:val="Compact"/>
      </w:pPr>
      <w:r>
        <w:t xml:space="preserve">International Trade: 21% (customs clearance disputes and export/import compliance)</w:t>
      </w:r>
    </w:p>
    <w:p>
      <w:pPr>
        <w:pStyle w:val="FirstParagraph"/>
      </w:pPr>
      <w:r>
        <w:rPr>
          <w:bCs/>
          <w:b/>
        </w:rPr>
        <w:t xml:space="preserve">Service Mix:</w:t>
      </w:r>
      <w:r>
        <w:t xml:space="preserve"> </w:t>
      </w:r>
      <w:r>
        <w:t xml:space="preserve">Our</w:t>
      </w:r>
      <w:r>
        <w:t xml:space="preserve"> </w:t>
      </w:r>
      <w:r>
        <w:rPr>
          <w:bCs/>
          <w:b/>
        </w:rPr>
        <w:t xml:space="preserve">Lawyer</w:t>
      </w:r>
      <w:r>
        <w:t xml:space="preserve"> </w:t>
      </w:r>
      <w:r>
        <w:t xml:space="preserve">team’s sales strategy emphasizes bundled solutions rather than transactional services. The "Istanbul Legal Shield" package—a comprehensive suite including corporate registration, tax advisory, and dispute resolution—now accounts for 62% of total revenue, up from 47% in 2022. This shift reflects client demand for holistic support within</w:t>
      </w:r>
      <w:r>
        <w:t xml:space="preserve"> </w:t>
      </w:r>
      <w:r>
        <w:rPr>
          <w:bCs/>
          <w:b/>
        </w:rPr>
        <w:t xml:space="preserve">Turkey Istanbul</w:t>
      </w:r>
      <w:r>
        <w:t xml:space="preserve">'s interconnected business environment.</w:t>
      </w:r>
    </w:p>
    <w:bookmarkEnd w:id="22"/>
    <w:bookmarkStart w:id="23" w:name="key-challenges-strategic-responses"/>
    <w:p>
      <w:pPr>
        <w:pStyle w:val="Heading2"/>
      </w:pPr>
      <w:r>
        <w:t xml:space="preserve">Key Challenges &amp; Strategic Responses</w:t>
      </w:r>
    </w:p>
    <w:p>
      <w:pPr>
        <w:pStyle w:val="FirstParagraph"/>
      </w:pPr>
      <w:r>
        <w:rPr>
          <w:bCs/>
          <w:b/>
        </w:rPr>
        <w:t xml:space="preserve">Challenge 1: Competition from Local Firms:</w:t>
      </w:r>
      <w:r>
        <w:t xml:space="preserve"> </w:t>
      </w:r>
      <w:r>
        <w:t xml:space="preserve">Many established Turkish law firms offer lower-cost services but lack international expertise.</w:t>
      </w:r>
      <w:r>
        <w:t xml:space="preserve"> </w:t>
      </w:r>
      <w:r>
        <w:rPr>
          <w:iCs/>
          <w:i/>
        </w:rPr>
        <w:t xml:space="preserve">Solution:</w:t>
      </w:r>
      <w:r>
        <w:t xml:space="preserve"> </w:t>
      </w:r>
      <w:r>
        <w:t xml:space="preserve">Our firm leveraged our bilingual (English/Turkish)</w:t>
      </w:r>
      <w:r>
        <w:t xml:space="preserve"> </w:t>
      </w:r>
      <w:r>
        <w:rPr>
          <w:bCs/>
          <w:b/>
        </w:rPr>
        <w:t xml:space="preserve">Lawyer</w:t>
      </w:r>
      <w:r>
        <w:t xml:space="preserve"> </w:t>
      </w:r>
      <w:r>
        <w:t xml:space="preserve">teams and cross-border networks to position ourselves as the "bridge" between global clients and Istanbul’s legal infrastructure. This reduced client attrition by 19% year-over-year.</w:t>
      </w:r>
    </w:p>
    <w:p>
      <w:pPr>
        <w:pStyle w:val="BodyText"/>
      </w:pPr>
      <w:r>
        <w:rPr>
          <w:bCs/>
          <w:b/>
        </w:rPr>
        <w:t xml:space="preserve">Challenge 2: Regulatory Volatility:</w:t>
      </w:r>
      <w:r>
        <w:t xml:space="preserve"> </w:t>
      </w:r>
      <w:r>
        <w:t xml:space="preserve">Frequent amendments to Turkey’s Competition Law (e.g., May 2023 updates) created uncertainty for clients.</w:t>
      </w:r>
      <w:r>
        <w:t xml:space="preserve"> </w:t>
      </w:r>
      <w:r>
        <w:rPr>
          <w:iCs/>
          <w:i/>
        </w:rPr>
        <w:t xml:space="preserve">Solution:</w:t>
      </w:r>
      <w:r>
        <w:t xml:space="preserve"> </w:t>
      </w:r>
      <w:r>
        <w:t xml:space="preserve">Our sales team implemented a proactive "Regulatory Alert System," delivering monthly briefings to existing clients—resulting in a 33% increase in upsell opportunities for compliance audits.</w:t>
      </w:r>
    </w:p>
    <w:p>
      <w:pPr>
        <w:pStyle w:val="BodyText"/>
      </w:pPr>
      <w:r>
        <w:rPr>
          <w:bCs/>
          <w:b/>
        </w:rPr>
        <w:t xml:space="preserve">Challenge 3: Client Acquisition Costs:</w:t>
      </w:r>
      <w:r>
        <w:t xml:space="preserve"> </w:t>
      </w:r>
      <w:r>
        <w:t xml:space="preserve">High costs associated with marketing to Istanbul’s corporate sector.</w:t>
      </w:r>
      <w:r>
        <w:t xml:space="preserve"> </w:t>
      </w:r>
      <w:r>
        <w:rPr>
          <w:iCs/>
          <w:i/>
        </w:rPr>
        <w:t xml:space="preserve">Solution:</w:t>
      </w:r>
      <w:r>
        <w:t xml:space="preserve"> </w:t>
      </w:r>
      <w:r>
        <w:t xml:space="preserve">We pivoted to industry-specific content marketing (e.g., webinars on "Navigating Istanbul’s Construction Sector Compliance") and strategic partnerships with the Istanbul Chamber of Commerce, reducing cost per acquisition by 22%.</w:t>
      </w:r>
    </w:p>
    <w:bookmarkEnd w:id="23"/>
    <w:bookmarkStart w:id="24" w:name="turkey-istanbul-specific-success-metrics"/>
    <w:p>
      <w:pPr>
        <w:pStyle w:val="Heading2"/>
      </w:pPr>
      <w:r>
        <w:t xml:space="preserve">Turkey Istanbul-Specific Success Metrics</w:t>
      </w:r>
    </w:p>
    <w:p>
      <w:pPr>
        <w:pStyle w:val="FirstParagraph"/>
      </w:pPr>
      <w:r>
        <w:t xml:space="preserve">Our sales strategy is intrinsically tied to</w:t>
      </w:r>
      <w:r>
        <w:t xml:space="preserve"> </w:t>
      </w:r>
      <w:r>
        <w:rPr>
          <w:bCs/>
          <w:b/>
        </w:rPr>
        <w:t xml:space="preserve">Turkey Istanbul</w:t>
      </w:r>
      <w:r>
        <w:t xml:space="preserve">'s geographic and legal identity. Key metrics demonstrating this alignment include:</w:t>
      </w:r>
    </w:p>
    <w:p>
      <w:pPr>
        <w:numPr>
          <w:ilvl w:val="0"/>
          <w:numId w:val="1002"/>
        </w:numPr>
        <w:pStyle w:val="Compact"/>
      </w:pPr>
      <w:r>
        <w:rPr>
          <w:bCs/>
          <w:b/>
        </w:rPr>
        <w:t xml:space="preserve">Localization Rate:</w:t>
      </w:r>
      <w:r>
        <w:t xml:space="preserve"> </w:t>
      </w:r>
      <w:r>
        <w:t xml:space="preserve">98% of client contracts in Istanbul included Turkish-language documentation (vs. 72% industry average), directly addressing a top client pain point.</w:t>
      </w:r>
    </w:p>
    <w:p>
      <w:pPr>
        <w:numPr>
          <w:ilvl w:val="0"/>
          <w:numId w:val="1002"/>
        </w:numPr>
        <w:pStyle w:val="Compact"/>
      </w:pPr>
      <w:r>
        <w:rPr>
          <w:bCs/>
          <w:b/>
        </w:rPr>
        <w:t xml:space="preserve">Case Resolution Speed:</w:t>
      </w:r>
      <w:r>
        <w:t xml:space="preserve"> </w:t>
      </w:r>
      <w:r>
        <w:t xml:space="preserve">Average case resolution time in Istanbul courts decreased by 14 days through optimized pre-litigation negotiations—a critical differentiator for time-sensitive businesses.</w:t>
      </w:r>
    </w:p>
    <w:p>
      <w:pPr>
        <w:numPr>
          <w:ilvl w:val="0"/>
          <w:numId w:val="1002"/>
        </w:numPr>
        <w:pStyle w:val="Compact"/>
      </w:pPr>
      <w:r>
        <w:rPr>
          <w:bCs/>
          <w:b/>
        </w:rPr>
        <w:t xml:space="preserve">Client Retention:</w:t>
      </w:r>
      <w:r>
        <w:t xml:space="preserve"> </w:t>
      </w:r>
      <w:r>
        <w:t xml:space="preserve">89% retention rate (vs. 76% industry benchmark) among Istanbul-based clients, driven by our understanding of local court dynamics and cultural business practices.</w:t>
      </w:r>
    </w:p>
    <w:bookmarkEnd w:id="24"/>
    <w:bookmarkStart w:id="25" w:name="future-outlook-strategic-recommendations"/>
    <w:p>
      <w:pPr>
        <w:pStyle w:val="Heading2"/>
      </w:pPr>
      <w:r>
        <w:t xml:space="preserve">Future Outlook &amp; Strategic Recommendations</w:t>
      </w:r>
    </w:p>
    <w:p>
      <w:pPr>
        <w:pStyle w:val="FirstParagraph"/>
      </w:pPr>
      <w:r>
        <w:t xml:space="preserve">The</w:t>
      </w:r>
      <w:r>
        <w:t xml:space="preserve"> </w:t>
      </w:r>
      <w:r>
        <w:rPr>
          <w:bCs/>
          <w:b/>
        </w:rPr>
        <w:t xml:space="preserve">Sales Report</w:t>
      </w:r>
      <w:r>
        <w:t xml:space="preserve"> </w:t>
      </w:r>
      <w:r>
        <w:t xml:space="preserve">indicates robust growth potential for our legal services in</w:t>
      </w:r>
      <w:r>
        <w:t xml:space="preserve"> </w:t>
      </w:r>
      <w:r>
        <w:rPr>
          <w:bCs/>
          <w:b/>
        </w:rPr>
        <w:t xml:space="preserve">Turkey Istanbul</w:t>
      </w:r>
      <w:r>
        <w:t xml:space="preserve">, with 3 strategic priorities for 2024:</w:t>
      </w:r>
    </w:p>
    <w:p>
      <w:pPr>
        <w:numPr>
          <w:ilvl w:val="0"/>
          <w:numId w:val="1003"/>
        </w:numPr>
        <w:pStyle w:val="Compact"/>
      </w:pPr>
      <w:r>
        <w:rPr>
          <w:iCs/>
          <w:i/>
        </w:rPr>
        <w:t xml:space="preserve">Expand "Istanbul Legal Hub" Services:</w:t>
      </w:r>
      <w:r>
        <w:t xml:space="preserve"> </w:t>
      </w:r>
      <w:r>
        <w:t xml:space="preserve">Develop a dedicated practice group focusing exclusively on Istanbul’s rapidly evolving regulations (e.g., new e-commerce laws, green energy incentives). This will target the city’s 12% annual growth in startup registrations.</w:t>
      </w:r>
    </w:p>
    <w:p>
      <w:pPr>
        <w:numPr>
          <w:ilvl w:val="0"/>
          <w:numId w:val="1003"/>
        </w:numPr>
        <w:pStyle w:val="Compact"/>
      </w:pPr>
      <w:r>
        <w:rPr>
          <w:iCs/>
          <w:i/>
        </w:rPr>
        <w:t xml:space="preserve">Leverage Digital Sales Tools:</w:t>
      </w:r>
      <w:r>
        <w:t xml:space="preserve"> </w:t>
      </w:r>
      <w:r>
        <w:t xml:space="preserve">Implement AI-driven client intake platforms customized for Turkish legal workflows, reducing onboarding time by 30%. Initial pilot in Istanbul showed a 25% faster sales cycle.</w:t>
      </w:r>
    </w:p>
    <w:p>
      <w:pPr>
        <w:numPr>
          <w:ilvl w:val="0"/>
          <w:numId w:val="1003"/>
        </w:numPr>
        <w:pStyle w:val="Compact"/>
      </w:pPr>
      <w:r>
        <w:rPr>
          <w:iCs/>
          <w:i/>
        </w:rPr>
        <w:t xml:space="preserve">Strengthen Cross-Industry Partnerships:</w:t>
      </w:r>
      <w:r>
        <w:t xml:space="preserve"> </w:t>
      </w:r>
      <w:r>
        <w:t xml:space="preserve">Forge alliances with Istanbul’s leading business incubators (e.g., ITU Technopolis) to co-host compliance workshops, targeting early-stage tech firms entering the Turkish market.</w:t>
      </w:r>
    </w:p>
    <w:bookmarkEnd w:id="25"/>
    <w:bookmarkStart w:id="26" w:name="conclusion"/>
    <w:p>
      <w:pPr>
        <w:pStyle w:val="Heading2"/>
      </w:pPr>
      <w:r>
        <w:t xml:space="preserve">Conclusion</w:t>
      </w:r>
    </w:p>
    <w:p>
      <w:pPr>
        <w:pStyle w:val="FirstParagraph"/>
      </w:pPr>
      <w:r>
        <w:t xml:space="preserve">This Sales Report affirms that our firm’s commitment to excellence as a legal service provider in</w:t>
      </w:r>
      <w:r>
        <w:t xml:space="preserve"> </w:t>
      </w:r>
      <w:r>
        <w:rPr>
          <w:bCs/>
          <w:b/>
        </w:rPr>
        <w:t xml:space="preserve">Turkey Istanbul</w:t>
      </w:r>
      <w:r>
        <w:t xml:space="preserve"> </w:t>
      </w:r>
      <w:r>
        <w:t xml:space="preserve">is yielding measurable results. The integration of local expertise with global standards has transformed how clients perceive legal support—moving from a reactive cost center to a strategic growth enabler. Our</w:t>
      </w:r>
      <w:r>
        <w:t xml:space="preserve"> </w:t>
      </w:r>
      <w:r>
        <w:rPr>
          <w:bCs/>
          <w:b/>
        </w:rPr>
        <w:t xml:space="preserve">Lawyer</w:t>
      </w:r>
      <w:r>
        <w:t xml:space="preserve"> </w:t>
      </w:r>
      <w:r>
        <w:t xml:space="preserve">team’s deep understanding of Istanbul’s unique business environment has been the cornerstone of our sales success, directly contributing to revenue growth and client trust. As Turkey continues its trajectory as an emerging market leader in Southeastern Europe, maintaining this localized approach will remain paramount. We project 30%+ revenue growth for 2024 if current strategies are maintained, with</w:t>
      </w:r>
      <w:r>
        <w:t xml:space="preserve"> </w:t>
      </w:r>
      <w:r>
        <w:rPr>
          <w:bCs/>
          <w:b/>
        </w:rPr>
        <w:t xml:space="preserve">Turkey Istanbul</w:t>
      </w:r>
      <w:r>
        <w:t xml:space="preserve"> </w:t>
      </w:r>
      <w:r>
        <w:t xml:space="preserve">remaining our most profitable geographic market.</w:t>
      </w:r>
    </w:p>
    <w:p>
      <w:pPr>
        <w:pStyle w:val="BodyText"/>
      </w:pPr>
      <w:r>
        <w:rPr>
          <w:iCs/>
          <w:i/>
        </w:rPr>
        <w:t xml:space="preserve">Prepared by: Global Legal Partners Sales &amp; Strategy Division</w:t>
      </w:r>
    </w:p>
    <w:p>
      <w:pPr>
        <w:pStyle w:val="BodyText"/>
      </w:pPr>
      <w:r>
        <w:rPr>
          <w:iCs/>
          <w:i/>
        </w:rPr>
        <w:t xml:space="preserve">This document is confidential and intended solely for internal use by executive leadership. All data sourced from firm CRM, Turkish Bar Association statistics, and client feedback surveys conducted in Turkey Istanbul.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Legal Services in Turkey Istanbul</dc:title>
  <dc:creator/>
  <dc:language>en</dc:language>
  <cp:keywords/>
  <dcterms:created xsi:type="dcterms:W3CDTF">2026-07-21T06:10:21Z</dcterms:created>
  <dcterms:modified xsi:type="dcterms:W3CDTF">2026-07-21T06:10:21Z</dcterms:modified>
</cp:coreProperties>
</file>

<file path=docProps/custom.xml><?xml version="1.0" encoding="utf-8"?>
<Properties xmlns="http://schemas.openxmlformats.org/officeDocument/2006/custom-properties" xmlns:vt="http://schemas.openxmlformats.org/officeDocument/2006/docPropsVTypes"/>
</file>