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Legal</w:t>
      </w:r>
      <w:r>
        <w:t xml:space="preserve"> </w:t>
      </w:r>
      <w:r>
        <w:t xml:space="preserve">Services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p>
    <w:bookmarkStart w:id="29" w:name="Xf7c23b3b6303e96a7606c0a767c20454ee2916d"/>
    <w:p>
      <w:pPr>
        <w:pStyle w:val="Heading1"/>
      </w:pPr>
      <w:r>
        <w:t xml:space="preserve">Comprehensive Sales Performance Report: Legal Services in Abu Dhabi, United Arab Emirates</w:t>
      </w:r>
    </w:p>
    <w:bookmarkStart w:id="20" w:name="executive-summary"/>
    <w:p>
      <w:pPr>
        <w:pStyle w:val="Heading2"/>
      </w:pPr>
      <w:r>
        <w:t xml:space="preserve">Executive Summary</w:t>
      </w:r>
    </w:p>
    <w:p>
      <w:pPr>
        <w:pStyle w:val="FirstParagraph"/>
      </w:pPr>
      <w:r>
        <w:t xml:space="preserve">This Sales Report provides a detailed analysis of the legal services performance for [Lawyer Firm Name] across Abu Dhabi, United Arab Emirates. Covering Q1-Q3 2023, the report demonstrates a 28% year-over-year growth in billable hours and a 35% increase in client acquisition within the United Arab Emirates Abu Dhabi jurisdiction. The firm has strategically positioned itself as a premier legal partner for multinational corporations operating in Abu Dhabi's dynamic business environment. This document serves as both an internal performance evaluation and a strategic roadmap for future expansion across the United Arab Emirates legal market.</w:t>
      </w:r>
    </w:p>
    <w:bookmarkEnd w:id="20"/>
    <w:bookmarkStart w:id="21" w:name="X0ca8b8b2ed9abb2233aaa9e96d512a4e64da32f"/>
    <w:p>
      <w:pPr>
        <w:pStyle w:val="Heading2"/>
      </w:pPr>
      <w:r>
        <w:t xml:space="preserve">Market Context: Legal Landscape in Abu Dhabi, UAE</w:t>
      </w:r>
    </w:p>
    <w:p>
      <w:pPr>
        <w:pStyle w:val="FirstParagraph"/>
      </w:pPr>
      <w:r>
        <w:t xml:space="preserve">The United Arab Emirates Abu Dhabi legal sector has experienced unprecedented growth driven by Abu Dhabi's Economic Vision 2030 initiatives, foreign investment influx (notably in renewable energy and tourism), and the establishment of the Abu Dhabi Global Market (ADGM). As a leading Lawyer firm operating within this ecosystem, our sales strategy must align with UAE Federal Law No. 1 of 2018 governing legal practice and Abu Dhabi Judicial Department regulations. The competitive landscape includes established international firms alongside growing Emirati-owned practices, creating both opportunities and challenges for our [Lawyer Firm Name] sales team.</w:t>
      </w:r>
    </w:p>
    <w:bookmarkEnd w:id="21"/>
    <w:bookmarkStart w:id="22" w:name="key-sales-performance-metrics-q1-q3-2023"/>
    <w:p>
      <w:pPr>
        <w:pStyle w:val="Heading2"/>
      </w:pPr>
      <w:r>
        <w:t xml:space="preserve">Key Sales Performance Metrics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w:t>
            </w:r>
          </w:p>
        </w:tc>
      </w:tr>
      <w:tr>
        <w:tc>
          <w:tcPr/>
          <w:p>
            <w:pPr>
              <w:pStyle w:val="Compact"/>
              <w:jc w:val="left"/>
            </w:pPr>
            <w:r>
              <w:t xml:space="preserve">Total Revenue (AED)</w:t>
            </w:r>
          </w:p>
        </w:tc>
        <w:tc>
          <w:tcPr/>
          <w:p>
            <w:pPr>
              <w:pStyle w:val="Compact"/>
              <w:jc w:val="left"/>
            </w:pPr>
            <w:r>
              <w:t xml:space="preserve">18,450,000</w:t>
            </w:r>
          </w:p>
        </w:tc>
        <w:tc>
          <w:tcPr/>
          <w:p>
            <w:pPr>
              <w:pStyle w:val="Compact"/>
              <w:jc w:val="left"/>
            </w:pPr>
            <w:r>
              <w:t xml:space="preserve">+28%</w:t>
            </w:r>
          </w:p>
        </w:tc>
        <w:tc>
          <w:tcPr/>
          <w:p>
            <w:pPr>
              <w:pStyle w:val="Compact"/>
              <w:jc w:val="left"/>
            </w:pPr>
            <w:r>
              <w:t xml:space="preserve">17,250,000</w:t>
            </w:r>
          </w:p>
        </w:tc>
      </w:tr>
      <w:tr>
        <w:tc>
          <w:tcPr/>
          <w:p>
            <w:pPr>
              <w:pStyle w:val="Compact"/>
              <w:jc w:val="left"/>
            </w:pPr>
            <w:r>
              <w:t xml:space="preserve">New Client Acquisition (Abu Dhabi-based)</w:t>
            </w:r>
          </w:p>
        </w:tc>
        <w:tc>
          <w:tcPr/>
          <w:p>
            <w:pPr>
              <w:pStyle w:val="Compact"/>
              <w:jc w:val="left"/>
            </w:pPr>
            <w:r>
              <w:t xml:space="preserve">47</w:t>
            </w:r>
          </w:p>
        </w:tc>
        <w:tc>
          <w:tcPr/>
          <w:p>
            <w:pPr>
              <w:pStyle w:val="Compact"/>
              <w:jc w:val="left"/>
            </w:pPr>
            <w:r>
              <w:t xml:space="preserve">+35%</w:t>
            </w:r>
          </w:p>
        </w:tc>
        <w:tc>
          <w:tcPr/>
          <w:p>
            <w:pPr>
              <w:pStyle w:val="Compact"/>
              <w:jc w:val="left"/>
            </w:pPr>
            <w:r>
              <w:t xml:space="preserve">35</w:t>
            </w:r>
          </w:p>
        </w:tc>
      </w:tr>
      <w:tr>
        <w:tc>
          <w:tcPr/>
          <w:p>
            <w:pPr>
              <w:pStyle w:val="Compact"/>
              <w:jc w:val="left"/>
            </w:pPr>
            <w:r>
              <w:t xml:space="preserve">Clients from GCC Countries (served via Abu Dhabi)</w:t>
            </w:r>
          </w:p>
        </w:tc>
        <w:tc>
          <w:tcPr/>
          <w:p>
            <w:pPr>
              <w:pStyle w:val="Compact"/>
              <w:jc w:val="left"/>
            </w:pPr>
            <w:r>
              <w:t xml:space="preserve">22</w:t>
            </w:r>
          </w:p>
        </w:tc>
        <w:tc>
          <w:tcPr/>
          <w:p>
            <w:pPr>
              <w:pStyle w:val="Compact"/>
              <w:jc w:val="left"/>
            </w:pPr>
            <w:r>
              <w:t xml:space="preserve">+18%</w:t>
            </w:r>
          </w:p>
        </w:tc>
        <w:tc>
          <w:tcPr/>
          <w:p>
            <w:pPr>
              <w:pStyle w:val="Compact"/>
              <w:jc w:val="left"/>
            </w:pPr>
            <w:r>
              <w:t xml:space="preserve">19</w:t>
            </w:r>
          </w:p>
        </w:tc>
      </w:tr>
      <w:tr>
        <w:tc>
          <w:tcPr/>
          <w:p>
            <w:pPr>
              <w:pStyle w:val="Compact"/>
              <w:jc w:val="left"/>
            </w:pPr>
            <w:r>
              <w:t xml:space="preserve">Sales Conversion Rate</w:t>
            </w:r>
          </w:p>
        </w:tc>
        <w:tc>
          <w:tcPr/>
          <w:p>
            <w:pPr>
              <w:pStyle w:val="Compact"/>
              <w:jc w:val="left"/>
            </w:pPr>
            <w:r>
              <w:t xml:space="preserve">64%</w:t>
            </w:r>
          </w:p>
        </w:tc>
        <w:tc>
          <w:tcPr/>
          <w:p>
            <w:pPr>
              <w:pStyle w:val="Compact"/>
              <w:jc w:val="left"/>
            </w:pPr>
            <w:r>
              <w:t xml:space="preserve">+9%</w:t>
            </w:r>
          </w:p>
        </w:tc>
        <w:tc>
          <w:tcPr/>
          <w:p>
            <w:pPr>
              <w:pStyle w:val="Compact"/>
              <w:jc w:val="left"/>
            </w:pPr>
            <w:r>
              <w:t xml:space="preserve">55%</w:t>
            </w:r>
          </w:p>
        </w:tc>
      </w:tr>
    </w:tbl>
    <w:bookmarkEnd w:id="22"/>
    <w:bookmarkStart w:id="23" w:name="service-line-performance-analysis"/>
    <w:p>
      <w:pPr>
        <w:pStyle w:val="Heading2"/>
      </w:pPr>
      <w:r>
        <w:t xml:space="preserve">Service Line Performance Analysis</w:t>
      </w:r>
    </w:p>
    <w:p>
      <w:pPr>
        <w:pStyle w:val="FirstParagraph"/>
      </w:pPr>
      <w:r>
        <w:t xml:space="preserve">The Sales Report reveals strong demand across three critical practice areas for our Lawyer services in Abu Dhabi:</w:t>
      </w:r>
    </w:p>
    <w:p>
      <w:pPr>
        <w:numPr>
          <w:ilvl w:val="0"/>
          <w:numId w:val="1001"/>
        </w:numPr>
        <w:pStyle w:val="Compact"/>
      </w:pPr>
      <w:r>
        <w:rPr>
          <w:bCs/>
          <w:b/>
        </w:rPr>
        <w:t xml:space="preserve">Commercial Contracts &amp; Corporate Structuring (45% of revenue):</w:t>
      </w:r>
      <w:r>
        <w:t xml:space="preserve"> </w:t>
      </w:r>
      <w:r>
        <w:t xml:space="preserve">High demand driven by Abu Dhabi's $12B foreign direct investment pipeline. Key deals include a $750M renewable energy joint venture and a major hospitality chain expansion. Our specialized Lawyer team secured 12 new multinational clients through targeted outreach to ADGM-based entities.</w:t>
      </w:r>
    </w:p>
    <w:p>
      <w:pPr>
        <w:numPr>
          <w:ilvl w:val="0"/>
          <w:numId w:val="1001"/>
        </w:numPr>
        <w:pStyle w:val="Compact"/>
      </w:pPr>
      <w:r>
        <w:rPr>
          <w:bCs/>
          <w:b/>
        </w:rPr>
        <w:t xml:space="preserve">Dispute Resolution (30% of revenue):</w:t>
      </w:r>
      <w:r>
        <w:t xml:space="preserve"> </w:t>
      </w:r>
      <w:r>
        <w:t xml:space="preserve">Abu Dhabi courts recorded 24% year-on-year increase in commercial cases. The firm's success in high-stakes arbitration (e.g., $45M construction dispute) led to 18 new retainers from UAE-based construction firms and oil &amp; gas operators.</w:t>
      </w:r>
    </w:p>
    <w:p>
      <w:pPr>
        <w:numPr>
          <w:ilvl w:val="0"/>
          <w:numId w:val="1001"/>
        </w:numPr>
        <w:pStyle w:val="Compact"/>
      </w:pPr>
      <w:r>
        <w:rPr>
          <w:bCs/>
          <w:b/>
        </w:rPr>
        <w:t xml:space="preserve">Regulatory Compliance (25% of revenue):</w:t>
      </w:r>
      <w:r>
        <w:t xml:space="preserve"> </w:t>
      </w:r>
      <w:r>
        <w:t xml:space="preserve">This fastest-growing segment reflects Abu Dhabi's strict regulatory environment. Our Lawyer team developed a specialized compliance package for ADGM license holders, resulting in 31 new clients across fintech and healthcare sectors.</w:t>
      </w:r>
    </w:p>
    <w:bookmarkEnd w:id="23"/>
    <w:bookmarkStart w:id="24" w:name="Xbf2f9b9a16cccc47f9fae2d138bd79d6b2a61fc"/>
    <w:p>
      <w:pPr>
        <w:pStyle w:val="Heading2"/>
      </w:pPr>
      <w:r>
        <w:t xml:space="preserve">Client Acquisition Strategy: Abu Dhabi Focus</w:t>
      </w:r>
    </w:p>
    <w:p>
      <w:pPr>
        <w:pStyle w:val="FirstParagraph"/>
      </w:pPr>
      <w:r>
        <w:t xml:space="preserve">The Sales Report highlights our successful hyper-localized approach for the United Arab Emirates Abu Dhabi market. Unlike regional competitors, we established dedicated UAE-focused sales channels including:</w:t>
      </w:r>
    </w:p>
    <w:p>
      <w:pPr>
        <w:numPr>
          <w:ilvl w:val="0"/>
          <w:numId w:val="1002"/>
        </w:numPr>
        <w:pStyle w:val="Compact"/>
      </w:pPr>
      <w:r>
        <w:t xml:space="preserve">Strategic partnerships with Abu Dhabi Department of Economic Development (ADED) and Abu Dhabi Chamber of Commerce</w:t>
      </w:r>
    </w:p>
    <w:p>
      <w:pPr>
        <w:numPr>
          <w:ilvl w:val="0"/>
          <w:numId w:val="1002"/>
        </w:numPr>
        <w:pStyle w:val="Compact"/>
      </w:pPr>
      <w:r>
        <w:t xml:space="preserve">Cultural adaptation: Sales team certified in UAE business etiquette and Arabic language training for key personnel</w:t>
      </w:r>
    </w:p>
    <w:p>
      <w:pPr>
        <w:numPr>
          <w:ilvl w:val="0"/>
          <w:numId w:val="1002"/>
        </w:numPr>
        <w:pStyle w:val="Compact"/>
      </w:pPr>
      <w:r>
        <w:t xml:space="preserve">Location-specific offerings: "Abu Dhabi Business Setup Package" including 20% discount on initial registration services</w:t>
      </w:r>
    </w:p>
    <w:p>
      <w:pPr>
        <w:numPr>
          <w:ilvl w:val="0"/>
          <w:numId w:val="1002"/>
        </w:numPr>
        <w:pStyle w:val="Compact"/>
      </w:pPr>
      <w:r>
        <w:t xml:space="preserve">Targeted events at Abu Dhabi Global Market (ADGM) and Yas Island corporate hubs</w:t>
      </w:r>
    </w:p>
    <w:bookmarkEnd w:id="24"/>
    <w:bookmarkStart w:id="25" w:name="Xfab993db667933b857723092425d568f8b9c5b3"/>
    <w:p>
      <w:pPr>
        <w:pStyle w:val="Heading2"/>
      </w:pPr>
      <w:r>
        <w:t xml:space="preserve">Client Satisfaction &amp; Retention (UAE Context)</w:t>
      </w:r>
    </w:p>
    <w:p>
      <w:pPr>
        <w:pStyle w:val="FirstParagraph"/>
      </w:pPr>
      <w:r>
        <w:t xml:space="preserve">Our Net Promoter Score for Lawyer services in Abu Dhabi reached 83, significantly above the UAE legal industry average of 67. Key drivers included:</w:t>
      </w:r>
    </w:p>
    <w:p>
      <w:pPr>
        <w:numPr>
          <w:ilvl w:val="0"/>
          <w:numId w:val="1003"/>
        </w:numPr>
        <w:pStyle w:val="Compact"/>
      </w:pPr>
      <w:r>
        <w:rPr>
          <w:iCs/>
          <w:i/>
        </w:rPr>
        <w:t xml:space="preserve">Regulatory Expertise</w:t>
      </w:r>
      <w:r>
        <w:t xml:space="preserve">: "Their understanding of Abu Dhabi's specific licensing requirements saved us 12 weeks during our market entry" (CEO, International Healthcare Provider)</w:t>
      </w:r>
    </w:p>
    <w:p>
      <w:pPr>
        <w:numPr>
          <w:ilvl w:val="0"/>
          <w:numId w:val="1003"/>
        </w:numPr>
        <w:pStyle w:val="Compact"/>
      </w:pPr>
      <w:r>
        <w:rPr>
          <w:iCs/>
          <w:i/>
        </w:rPr>
        <w:t xml:space="preserve">Cultural Intelligence</w:t>
      </w:r>
      <w:r>
        <w:t xml:space="preserve">: "They navigated Emirati business protocols seamlessly during our $30M contract negotiations" (General Counsel, Major Oil Services Company)</w:t>
      </w:r>
    </w:p>
    <w:p>
      <w:pPr>
        <w:numPr>
          <w:ilvl w:val="0"/>
          <w:numId w:val="1003"/>
        </w:numPr>
        <w:pStyle w:val="Compact"/>
      </w:pPr>
      <w:r>
        <w:rPr>
          <w:iCs/>
          <w:i/>
        </w:rPr>
        <w:t xml:space="preserve">Response Time</w:t>
      </w:r>
      <w:r>
        <w:t xml:space="preserve">: 98% of UAE client queries resolved within 4 business hours under Abu Dhabi's legal service standards</w:t>
      </w:r>
    </w:p>
    <w:bookmarkEnd w:id="25"/>
    <w:bookmarkStart w:id="26" w:name="challenges-in-the-abu-dhabi-market"/>
    <w:p>
      <w:pPr>
        <w:pStyle w:val="Heading2"/>
      </w:pPr>
      <w:r>
        <w:t xml:space="preserve">Challenges in the Abu Dhabi Market</w:t>
      </w:r>
    </w:p>
    <w:p>
      <w:pPr>
        <w:pStyle w:val="FirstParagraph"/>
      </w:pPr>
      <w:r>
        <w:t xml:space="preserve">The Sales Report identifies critical challenges requiring strategic adjustments:</w:t>
      </w:r>
    </w:p>
    <w:p>
      <w:pPr>
        <w:numPr>
          <w:ilvl w:val="0"/>
          <w:numId w:val="1004"/>
        </w:numPr>
        <w:pStyle w:val="Compact"/>
      </w:pPr>
      <w:r>
        <w:rPr>
          <w:bCs/>
          <w:b/>
        </w:rPr>
        <w:t xml:space="preserve">Regulatory Complexity</w:t>
      </w:r>
      <w:r>
        <w:t xml:space="preserve">: UAE federal laws vs. Abu Dhabi-specific regulations create client confusion, requiring additional sales education time (accounting for 15% of sales cycle delays)</w:t>
      </w:r>
    </w:p>
    <w:p>
      <w:pPr>
        <w:numPr>
          <w:ilvl w:val="0"/>
          <w:numId w:val="1004"/>
        </w:numPr>
        <w:pStyle w:val="Compact"/>
      </w:pPr>
      <w:r>
        <w:rPr>
          <w:bCs/>
          <w:b/>
        </w:rPr>
        <w:t xml:space="preserve">Talent Shortage</w:t>
      </w:r>
      <w:r>
        <w:t xml:space="preserve">: Competitive salaries for bilingual Lawyer professionals in Abu Dhabi have increased recruitment costs by 22%</w:t>
      </w:r>
    </w:p>
    <w:p>
      <w:pPr>
        <w:numPr>
          <w:ilvl w:val="0"/>
          <w:numId w:val="1004"/>
        </w:numPr>
        <w:pStyle w:val="Compact"/>
      </w:pPr>
      <w:r>
        <w:rPr>
          <w:bCs/>
          <w:b/>
        </w:rPr>
        <w:t xml:space="preserve">Client Expectations</w:t>
      </w:r>
      <w:r>
        <w:t xml:space="preserve">: Rising demand for "same-day" legal solutions conflicts with UAE's traditional business pace, requiring sales team training on managing expectations</w:t>
      </w:r>
    </w:p>
    <w:bookmarkEnd w:id="26"/>
    <w:bookmarkStart w:id="27" w:name="X77276ac22622badf38098f4635d1816911b9d5d"/>
    <w:p>
      <w:pPr>
        <w:pStyle w:val="Heading2"/>
      </w:pPr>
      <w:r>
        <w:t xml:space="preserve">Strategic Growth Initiatives for Abu Dhabi Market (Q4 2023 &amp; Beyond)</w:t>
      </w:r>
    </w:p>
    <w:p>
      <w:pPr>
        <w:pStyle w:val="FirstParagraph"/>
      </w:pPr>
      <w:r>
        <w:t xml:space="preserve">This Sales Report concludes with three priority initiatives to solidify our position as the premier Lawyer firm in United Arab Emirates Abu Dhabi:</w:t>
      </w:r>
    </w:p>
    <w:p>
      <w:pPr>
        <w:numPr>
          <w:ilvl w:val="0"/>
          <w:numId w:val="1005"/>
        </w:numPr>
        <w:pStyle w:val="Compact"/>
      </w:pPr>
      <w:r>
        <w:rPr>
          <w:bCs/>
          <w:b/>
        </w:rPr>
        <w:t xml:space="preserve">ADGM Legal Tech Partnership</w:t>
      </w:r>
      <w:r>
        <w:t xml:space="preserve">: Collaborating with ADGM's regulatory sandbox to develop AI-powered contract analysis tools for Abu Dhabi-based clients, reducing review time by 40%</w:t>
      </w:r>
    </w:p>
    <w:p>
      <w:pPr>
        <w:numPr>
          <w:ilvl w:val="0"/>
          <w:numId w:val="1005"/>
        </w:numPr>
        <w:pStyle w:val="Compact"/>
      </w:pPr>
      <w:r>
        <w:rPr>
          <w:bCs/>
          <w:b/>
        </w:rPr>
        <w:t xml:space="preserve">Emiratization Sales Program</w:t>
      </w:r>
      <w:r>
        <w:t xml:space="preserve">: Increasing UAE national representation in sales team from 18% to 40% within 12 months to enhance cultural credibility</w:t>
      </w:r>
    </w:p>
    <w:p>
      <w:pPr>
        <w:numPr>
          <w:ilvl w:val="0"/>
          <w:numId w:val="1005"/>
        </w:numPr>
        <w:pStyle w:val="Compact"/>
      </w:pPr>
      <w:r>
        <w:rPr>
          <w:bCs/>
          <w:b/>
        </w:rPr>
        <w:t xml:space="preserve">Abu Dhabi Legal Excellence Summit</w:t>
      </w:r>
      <w:r>
        <w:t xml:space="preserve">: Launching the region's first quarterly summit for legal professionals in Abu Dhabi (Q1 2024) with Abu Dhabi Judicial Department endorsement</w:t>
      </w:r>
    </w:p>
    <w:bookmarkEnd w:id="27"/>
    <w:bookmarkStart w:id="28" w:name="X2fb13e9f538c4e60c3a35136e84a154d46be5f7"/>
    <w:p>
      <w:pPr>
        <w:pStyle w:val="Heading2"/>
      </w:pPr>
      <w:r>
        <w:t xml:space="preserve">Conclusion: The Future of Legal Sales in Abu Dhabi</w:t>
      </w:r>
    </w:p>
    <w:p>
      <w:pPr>
        <w:pStyle w:val="FirstParagraph"/>
      </w:pPr>
      <w:r>
        <w:t xml:space="preserve">This comprehensive Sales Report confirms that [Lawyer Firm Name] has successfully established itself as a strategic legal partner within United Arab Emirates Abu Dhabi. Our 35% YoY client growth in this market demonstrates the effectiveness of our localized sales approach tailored to Abu Dhabi's unique regulatory and business environment. As the UAE continues its transformation under Vision 2030, with Abu Dhabi serving as the economic engine, our Lawyer services must evolve to meet emerging demands in sustainable energy law, fintech regulation, and cross-border dispute resolution.</w:t>
      </w:r>
    </w:p>
    <w:p>
      <w:pPr>
        <w:pStyle w:val="BodyText"/>
      </w:pPr>
      <w:r>
        <w:t xml:space="preserve">Looking ahead to 2024, we project a minimum of 15% additional growth by expanding our footprint across Abu Dhabi's new urban zones including Masdar City and Saadiyat Island. This Sales Report not only quantifies our current success but establishes the framework for becoming the most trusted legal partner for businesses operating within United Arab Emirates Abu Dhabi - where understanding local nuances is not just advantageous, but essential to commercial success.</w:t>
      </w:r>
    </w:p>
    <w:p>
      <w:pPr>
        <w:pStyle w:val="BodyText"/>
      </w:pPr>
      <w:r>
        <w:rPr>
          <w:iCs/>
          <w:i/>
        </w:rPr>
        <w:t xml:space="preserve">Prepared by: [Lawyer Firm Name] Sales Intelligence Unit</w:t>
      </w:r>
      <w:r>
        <w:br/>
      </w: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Legal Services Sales Performance Report - United Arab Emirates</dc:title>
  <dc:creator/>
  <dc:language>en</dc:language>
  <cp:keywords/>
  <dcterms:created xsi:type="dcterms:W3CDTF">2026-07-24T07:54:52Z</dcterms:created>
  <dcterms:modified xsi:type="dcterms:W3CDTF">2026-07-24T07:54:52Z</dcterms:modified>
</cp:coreProperties>
</file>

<file path=docProps/custom.xml><?xml version="1.0" encoding="utf-8"?>
<Properties xmlns="http://schemas.openxmlformats.org/officeDocument/2006/custom-properties" xmlns:vt="http://schemas.openxmlformats.org/officeDocument/2006/docPropsVTypes"/>
</file>