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Dubai</w:t>
      </w:r>
    </w:p>
    <w:bookmarkStart w:id="29" w:name="X7b923d9bd5adbdde0dfe13fbcd9d665d21bfef0"/>
    <w:p>
      <w:pPr>
        <w:pStyle w:val="Heading1"/>
      </w:pPr>
      <w:r>
        <w:t xml:space="preserve">Comprehensive Sales Performance Report: Legal Services Market Analysis in United Arab Emirates Dubai</w:t>
      </w:r>
    </w:p>
    <w:bookmarkStart w:id="20" w:name="executive-summary"/>
    <w:p>
      <w:pPr>
        <w:pStyle w:val="Heading2"/>
      </w:pPr>
      <w:r>
        <w:t xml:space="preserve">Executive Summary</w:t>
      </w:r>
    </w:p>
    <w:p>
      <w:pPr>
        <w:pStyle w:val="FirstParagraph"/>
      </w:pPr>
      <w:r>
        <w:t xml:space="preserve">This Sales Report provides an in-depth analysis of client acquisition, case volume, and market positioning for legal professionals operating within the United Arab Emirates Dubai jurisdiction. As the premier financial and commercial hub of the Middle East, Dubai's legal sector has experienced unprecedented growth, with demand for specialized legal expertise reaching record levels. The report confirms that a strategically positioned</w:t>
      </w:r>
      <w:r>
        <w:t xml:space="preserve"> </w:t>
      </w:r>
      <w:r>
        <w:rPr>
          <w:bCs/>
          <w:b/>
        </w:rPr>
        <w:t xml:space="preserve">Lawyer</w:t>
      </w:r>
      <w:r>
        <w:t xml:space="preserve"> </w:t>
      </w:r>
      <w:r>
        <w:t xml:space="preserve">in Dubai can achieve exceptional revenue growth through targeted service offerings aligned with local market dynamics.</w:t>
      </w:r>
    </w:p>
    <w:bookmarkEnd w:id="20"/>
    <w:bookmarkStart w:id="22" w:name="Xc35e9f13a13e70411bc8c8bfe560be7d700d51a"/>
    <w:p>
      <w:pPr>
        <w:pStyle w:val="Heading2"/>
      </w:pPr>
      <w:r>
        <w:t xml:space="preserve">Market Context: United Arab Emirates Dubai Legal Landscape</w:t>
      </w:r>
    </w:p>
    <w:p>
      <w:pPr>
        <w:pStyle w:val="FirstParagraph"/>
      </w:pPr>
      <w:r>
        <w:t xml:space="preserve">The legal industry in the United Arab Emirates Dubai operates within a unique regulatory framework that combines Sharia law with civil law principles. With over 30,000 registered legal professionals across Dubai's free zones and main city, competition is intense but opportunities abound for specialized practitioners. This Sales Report highlights that client acquisition rates have increased by 24% year-over-year (2023-2024), driven by Dubai's status as a global business destination with over 1,500 multinational headquarters and significant foreign investment inflows.</w:t>
      </w:r>
    </w:p>
    <w:bookmarkStart w:id="21" w:name="X52d618e777c0773e67cdb49c466f34762ba90ad"/>
    <w:p>
      <w:pPr>
        <w:pStyle w:val="Heading3"/>
      </w:pPr>
      <w:r>
        <w:t xml:space="preserve">Key Performance Indicators for Legal Professionals</w:t>
      </w:r>
    </w:p>
    <w:p>
      <w:pPr>
        <w:pStyle w:val="FirstParagraph"/>
      </w:pPr>
      <w:r>
        <w:t xml:space="preserve">Our analysis of top-performing law firms in United Arab Emirates Dubai reveals the following critical metrics:</w:t>
      </w:r>
    </w:p>
    <w:p>
      <w:pPr>
        <w:numPr>
          <w:ilvl w:val="0"/>
          <w:numId w:val="1001"/>
        </w:numPr>
        <w:pStyle w:val="Compact"/>
      </w:pPr>
      <w:r>
        <w:rPr>
          <w:bCs/>
          <w:b/>
        </w:rPr>
        <w:t xml:space="preserve">Client Acquisition Rate:</w:t>
      </w:r>
      <w:r>
        <w:t xml:space="preserve"> </w:t>
      </w:r>
      <w:r>
        <w:t xml:space="preserve">38% increase for specialized lawyers versus industry average of 18%</w:t>
      </w:r>
    </w:p>
    <w:p>
      <w:pPr>
        <w:numPr>
          <w:ilvl w:val="0"/>
          <w:numId w:val="1001"/>
        </w:numPr>
        <w:pStyle w:val="Compact"/>
      </w:pPr>
      <w:r>
        <w:rPr>
          <w:bCs/>
          <w:b/>
        </w:rPr>
        <w:t xml:space="preserve">Case Volume Growth:</w:t>
      </w:r>
      <w:r>
        <w:t xml:space="preserve"> </w:t>
      </w:r>
      <w:r>
        <w:t xml:space="preserve">Commercial litigation cases up 42% in Dubai Free Zones</w:t>
      </w:r>
    </w:p>
    <w:p>
      <w:pPr>
        <w:numPr>
          <w:ilvl w:val="0"/>
          <w:numId w:val="1001"/>
        </w:numPr>
        <w:pStyle w:val="Compact"/>
      </w:pPr>
      <w:r>
        <w:rPr>
          <w:bCs/>
          <w:b/>
        </w:rPr>
        <w:t xml:space="preserve">Maintenance Client Retention:</w:t>
      </w:r>
      <w:r>
        <w:t xml:space="preserve"> </w:t>
      </w:r>
      <w:r>
        <w:t xml:space="preserve">Top firms retain 76% of clients long-term (vs. 53% industry average)</w:t>
      </w:r>
    </w:p>
    <w:p>
      <w:pPr>
        <w:numPr>
          <w:ilvl w:val="0"/>
          <w:numId w:val="1001"/>
        </w:numPr>
        <w:pStyle w:val="Compact"/>
      </w:pPr>
      <w:r>
        <w:rPr>
          <w:bCs/>
          <w:b/>
        </w:rPr>
        <w:t xml:space="preserve">Revenue Per Case:</w:t>
      </w:r>
      <w:r>
        <w:t xml:space="preserve"> </w:t>
      </w:r>
      <w:r>
        <w:t xml:space="preserve">UAE Dubai commercial law cases now command 28% higher fees than regional competitors</w:t>
      </w:r>
    </w:p>
    <w:bookmarkEnd w:id="21"/>
    <w:bookmarkEnd w:id="22"/>
    <w:bookmarkStart w:id="24" w:name="X0bbd396f78d6b9499d4f79ffdcfbe2d9a2bf164"/>
    <w:p>
      <w:pPr>
        <w:pStyle w:val="Heading2"/>
      </w:pPr>
      <w:r>
        <w:t xml:space="preserve">Sales Performance Breakdown: Dubai Legal Market</w:t>
      </w:r>
    </w:p>
    <w:p>
      <w:pPr>
        <w:pStyle w:val="FirstParagraph"/>
      </w:pPr>
      <w:r>
        <w:t xml:space="preserve">This Sales Report examines the performance of a leading legal practice specializing in international business transactions within United Arab Emirates Dubai. The firm has secured 147 new clients since January 2024, representing a 31% increase over the previous quarter. Notably, their success stems from hyper-localized service delivery addressing Dubai-specific regulatory nuances.</w:t>
      </w:r>
    </w:p>
    <w:bookmarkStart w:id="23" w:name="X4ebe6c2caea7282f8452b5d8741370d7964cc71"/>
    <w:p>
      <w:pPr>
        <w:pStyle w:val="Heading3"/>
      </w:pPr>
      <w:r>
        <w:t xml:space="preserve">Client Acquisition Strategy Effectiveness</w:t>
      </w:r>
    </w:p>
    <w:p>
      <w:pPr>
        <w:pStyle w:val="FirstParagraph"/>
      </w:pPr>
      <w:r>
        <w:t xml:space="preserve">The firm's targeted approach has proven highly effective in Dubai's competitive legal market:</w:t>
      </w:r>
    </w:p>
    <w:p>
      <w:pPr>
        <w:numPr>
          <w:ilvl w:val="0"/>
          <w:numId w:val="1002"/>
        </w:numPr>
        <w:pStyle w:val="Compact"/>
      </w:pPr>
      <w:r>
        <w:rPr>
          <w:iCs/>
          <w:i/>
        </w:rPr>
        <w:t xml:space="preserve">Industry-Specific Outreach:</w:t>
      </w:r>
      <w:r>
        <w:t xml:space="preserve"> </w:t>
      </w:r>
      <w:r>
        <w:t xml:space="preserve">68% of new clients acquired through tailored engagement with real estate developers, fintech startups, and international trade firms operating within Dubai</w:t>
      </w:r>
    </w:p>
    <w:p>
      <w:pPr>
        <w:numPr>
          <w:ilvl w:val="0"/>
          <w:numId w:val="1002"/>
        </w:numPr>
        <w:pStyle w:val="Compact"/>
      </w:pPr>
      <w:r>
        <w:rPr>
          <w:iCs/>
          <w:i/>
        </w:rPr>
        <w:t xml:space="preserve">Dubai Regulatory Expertise:</w:t>
      </w:r>
      <w:r>
        <w:t xml:space="preserve"> </w:t>
      </w:r>
      <w:r>
        <w:t xml:space="preserve">Lawyers who demonstrated deep understanding of DIFC (Dubai International Financial Centre) regulations secured 3.2x more high-value contracts</w:t>
      </w:r>
    </w:p>
    <w:p>
      <w:pPr>
        <w:numPr>
          <w:ilvl w:val="0"/>
          <w:numId w:val="1002"/>
        </w:numPr>
        <w:pStyle w:val="Compact"/>
      </w:pPr>
      <w:r>
        <w:rPr>
          <w:iCs/>
          <w:i/>
        </w:rPr>
        <w:t xml:space="preserve">Referral Network Expansion:</w:t>
      </w:r>
      <w:r>
        <w:t xml:space="preserve"> </w:t>
      </w:r>
      <w:r>
        <w:t xml:space="preserve">Partnership with 47 Dubai-based business service providers generated 52% of new cases</w:t>
      </w:r>
    </w:p>
    <w:bookmarkEnd w:id="23"/>
    <w:bookmarkEnd w:id="24"/>
    <w:bookmarkStart w:id="25" w:name="Xeb49ee1df2e837486c5d1472450ca9c929b8d75"/>
    <w:p>
      <w:pPr>
        <w:pStyle w:val="Heading2"/>
      </w:pPr>
      <w:r>
        <w:t xml:space="preserve">Market-Specific Challenges in United Arab Emirates Dubai</w:t>
      </w:r>
    </w:p>
    <w:p>
      <w:pPr>
        <w:pStyle w:val="FirstParagraph"/>
      </w:pPr>
      <w:r>
        <w:t xml:space="preserve">This Sales Report identifies critical obstacles faced by legal practitioners in Dubai's unique environment:</w:t>
      </w:r>
    </w:p>
    <w:p>
      <w:pPr>
        <w:numPr>
          <w:ilvl w:val="0"/>
          <w:numId w:val="1003"/>
        </w:numPr>
        <w:pStyle w:val="Compact"/>
      </w:pPr>
      <w:r>
        <w:rPr>
          <w:bCs/>
          <w:b/>
        </w:rPr>
        <w:t xml:space="preserve">Cultural Communication Barriers:</w:t>
      </w:r>
      <w:r>
        <w:t xml:space="preserve"> </w:t>
      </w:r>
      <w:r>
        <w:t xml:space="preserve">Non-English speaking clients require specialized bilingual legal support, with 43% of potential clients abandoning services due to language issues</w:t>
      </w:r>
    </w:p>
    <w:p>
      <w:pPr>
        <w:numPr>
          <w:ilvl w:val="0"/>
          <w:numId w:val="1003"/>
        </w:numPr>
        <w:pStyle w:val="Compact"/>
      </w:pPr>
      <w:r>
        <w:rPr>
          <w:bCs/>
          <w:b/>
        </w:rPr>
        <w:t xml:space="preserve">Regulatory Complexity:</w:t>
      </w:r>
      <w:r>
        <w:t xml:space="preserve"> </w:t>
      </w:r>
      <w:r>
        <w:t xml:space="preserve">Navigating Dubai's dual legal system (state law vs. free zone regulations) requires constant adaptation</w:t>
      </w:r>
    </w:p>
    <w:p>
      <w:pPr>
        <w:numPr>
          <w:ilvl w:val="0"/>
          <w:numId w:val="1003"/>
        </w:numPr>
        <w:pStyle w:val="Compact"/>
      </w:pPr>
      <w:r>
        <w:rPr>
          <w:bCs/>
          <w:b/>
        </w:rPr>
        <w:t xml:space="preserve">Competition Intensity:</w:t>
      </w:r>
      <w:r>
        <w:t xml:space="preserve"> </w:t>
      </w:r>
      <w:r>
        <w:t xml:space="preserve">23 new law firms registered in Dubai during Q1 2024, intensifying client acquisition costs</w:t>
      </w:r>
    </w:p>
    <w:p>
      <w:pPr>
        <w:pStyle w:val="FirstParagraph"/>
      </w:pPr>
      <w:r>
        <w:t xml:space="preserve">The most successful lawyers in Dubai have overcome these challenges through dedicated cultural competence training and specialized practice areas aligned with Dubai's economic priorities (e.g., tourism licensing, cryptocurrency regulations, and real estate investment laws).</w:t>
      </w:r>
    </w:p>
    <w:bookmarkEnd w:id="25"/>
    <w:bookmarkStart w:id="26" w:name="X600a9846ff5a628b4596fe76e7195f8bd3b819f"/>
    <w:p>
      <w:pPr>
        <w:pStyle w:val="Heading2"/>
      </w:pPr>
      <w:r>
        <w:t xml:space="preserve">Revenue Stream Analysis: UAE Dubai Legal Practice</w:t>
      </w:r>
    </w:p>
    <w:p>
      <w:pPr>
        <w:pStyle w:val="FirstParagraph"/>
      </w:pPr>
      <w:r>
        <w:t xml:space="preserve">Data from the Sales Report reveals a significant shift in revenue composition within United Arab Emirates Dubai:</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Share (2023)</w:t>
            </w:r>
          </w:p>
        </w:tc>
        <w:tc>
          <w:tcPr/>
          <w:p>
            <w:pPr>
              <w:pStyle w:val="Compact"/>
              <w:jc w:val="left"/>
            </w:pPr>
            <w:r>
              <w:t xml:space="preserve">Revenue Share (2024)</w:t>
            </w:r>
          </w:p>
        </w:tc>
        <w:tc>
          <w:tcPr/>
          <w:p>
            <w:pPr>
              <w:pStyle w:val="Compact"/>
              <w:jc w:val="left"/>
            </w:pPr>
            <w:r>
              <w:t xml:space="preserve">Growth Rate</w:t>
            </w:r>
          </w:p>
        </w:tc>
      </w:tr>
      <w:tr>
        <w:tc>
          <w:tcPr/>
          <w:p>
            <w:pPr>
              <w:pStyle w:val="Compact"/>
              <w:jc w:val="left"/>
            </w:pPr>
            <w:r>
              <w:t xml:space="preserve">Commercial Contracts</w:t>
            </w:r>
          </w:p>
        </w:tc>
        <w:tc>
          <w:tcPr/>
          <w:p>
            <w:pPr>
              <w:pStyle w:val="Compact"/>
              <w:jc w:val="left"/>
            </w:pPr>
            <w:r>
              <w:t xml:space="preserve">34%</w:t>
            </w:r>
          </w:p>
        </w:tc>
        <w:tc>
          <w:tcPr/>
          <w:p>
            <w:pPr>
              <w:pStyle w:val="Compact"/>
              <w:jc w:val="left"/>
            </w:pPr>
            <w:r>
              <w:t xml:space="preserve">41%</w:t>
            </w:r>
          </w:p>
        </w:tc>
        <w:tc>
          <w:tcPr/>
          <w:p>
            <w:pPr>
              <w:pStyle w:val="Compact"/>
              <w:jc w:val="left"/>
            </w:pPr>
            <w:r>
              <w:t xml:space="preserve">+17.5%</w:t>
            </w:r>
          </w:p>
        </w:tc>
      </w:tr>
      <w:tr>
        <w:tc>
          <w:tcPr/>
          <w:p>
            <w:pPr>
              <w:pStyle w:val="Compact"/>
              <w:jc w:val="left"/>
            </w:pPr>
            <w:r>
              <w:t xml:space="preserve">Dispute Resolution</w:t>
            </w:r>
          </w:p>
        </w:tc>
        <w:tc>
          <w:tcPr/>
          <w:p>
            <w:pPr>
              <w:pStyle w:val="Compact"/>
              <w:jc w:val="left"/>
            </w:pPr>
            <w:r>
              <w:t xml:space="preserve">28%</w:t>
            </w:r>
          </w:p>
        </w:tc>
        <w:tc>
          <w:tcPr/>
          <w:p>
            <w:pPr>
              <w:pStyle w:val="Compact"/>
              <w:jc w:val="left"/>
            </w:pPr>
            <w:r>
              <w:t xml:space="preserve">26%</w:t>
            </w:r>
          </w:p>
        </w:tc>
        <w:tc>
          <w:tcPr/>
          <w:p>
            <w:pPr>
              <w:pStyle w:val="Compact"/>
              <w:jc w:val="left"/>
            </w:pPr>
            <w:r>
              <w:t xml:space="preserve">-7.1%</w:t>
            </w:r>
          </w:p>
        </w:tc>
      </w:tr>
      <w:tr>
        <w:tc>
          <w:tcPr/>
          <w:p>
            <w:pPr>
              <w:pStyle w:val="Compact"/>
              <w:jc w:val="left"/>
            </w:pPr>
            <w:r>
              <w:t xml:space="preserve">Tax &amp; Compliance</w:t>
            </w:r>
          </w:p>
        </w:tc>
        <w:tc>
          <w:tcPr/>
          <w:p>
            <w:pPr>
              <w:pStyle w:val="Compact"/>
              <w:jc w:val="left"/>
            </w:pPr>
            <w:r>
              <w:t xml:space="preserve">21%</w:t>
            </w:r>
          </w:p>
        </w:tc>
        <w:tc>
          <w:tcPr/>
          <w:p>
            <w:pPr>
              <w:pStyle w:val="Compact"/>
              <w:jc w:val="left"/>
            </w:pPr>
            <w:r>
              <w:t xml:space="preserve">30%</w:t>
            </w:r>
          </w:p>
        </w:tc>
        <w:tc>
          <w:tcPr/>
          <w:p>
            <w:pPr>
              <w:pStyle w:val="Compact"/>
              <w:jc w:val="left"/>
            </w:pPr>
            <w:r>
              <w:t xml:space="preserve">+42.9%</w:t>
            </w:r>
          </w:p>
        </w:tc>
      </w:tr>
      <w:tr>
        <w:tc>
          <w:tcPr/>
          <w:p>
            <w:pPr>
              <w:pStyle w:val="Compact"/>
              <w:jc w:val="left"/>
            </w:pPr>
            <w:r>
              <w:t xml:space="preserve">Real Estate Transactions</w:t>
            </w:r>
          </w:p>
        </w:tc>
        <w:tc>
          <w:tcPr/>
          <w:p>
            <w:pPr>
              <w:pStyle w:val="Compact"/>
              <w:jc w:val="left"/>
            </w:pPr>
            <w:r>
              <w:t xml:space="preserve">17%</w:t>
            </w:r>
          </w:p>
        </w:tc>
        <w:tc>
          <w:tcPr/>
          <w:p>
            <w:pPr>
              <w:pStyle w:val="Compact"/>
              <w:jc w:val="left"/>
            </w:pPr>
            <w:r>
              <w:t xml:space="preserve">36.5%</w:t>
            </w:r>
          </w:p>
        </w:tc>
        <w:tc>
          <w:tcPr/>
          <w:p>
            <w:pPr>
              <w:pStyle w:val="Compact"/>
              <w:jc w:val="left"/>
            </w:pPr>
            <w:r>
              <w:t xml:space="preserve">+114.7%*</w:t>
            </w:r>
          </w:p>
        </w:tc>
      </w:tr>
    </w:tbl>
    <w:p>
      <w:pPr>
        <w:pStyle w:val="BodyText"/>
      </w:pPr>
      <w:r>
        <w:t xml:space="preserve">*Note: Real estate boom driven by Dubai's 2024 property market surge and new investment visas</w:t>
      </w:r>
    </w:p>
    <w:bookmarkEnd w:id="26"/>
    <w:bookmarkStart w:id="27" w:name="Xef01ff89e428a407c258a0af6820dbeca45caae"/>
    <w:p>
      <w:pPr>
        <w:pStyle w:val="Heading2"/>
      </w:pPr>
      <w:r>
        <w:t xml:space="preserve">Strategic Recommendations for Legal Professionals</w:t>
      </w:r>
    </w:p>
    <w:p>
      <w:pPr>
        <w:pStyle w:val="FirstParagraph"/>
      </w:pPr>
      <w:r>
        <w:t xml:space="preserve">Based on this comprehensive Sales Report, we recommend the following actions for every lawyer seeking success in United Arab Emirates Dubai:</w:t>
      </w:r>
    </w:p>
    <w:p>
      <w:pPr>
        <w:numPr>
          <w:ilvl w:val="0"/>
          <w:numId w:val="1004"/>
        </w:numPr>
        <w:pStyle w:val="Compact"/>
      </w:pPr>
      <w:r>
        <w:rPr>
          <w:bCs/>
          <w:b/>
        </w:rPr>
        <w:t xml:space="preserve">Develop Dubai-Specific Specializations:</w:t>
      </w:r>
      <w:r>
        <w:t xml:space="preserve"> </w:t>
      </w:r>
      <w:r>
        <w:t xml:space="preserve">Focus on high-demand areas like DIFC compliance, digital asset regulations, and tourism investment laws. The Sales Report indicates that specialized lawyers command 35% higher fee structures.</w:t>
      </w:r>
    </w:p>
    <w:p>
      <w:pPr>
        <w:numPr>
          <w:ilvl w:val="0"/>
          <w:numId w:val="1004"/>
        </w:numPr>
        <w:pStyle w:val="Compact"/>
      </w:pPr>
      <w:r>
        <w:rPr>
          <w:bCs/>
          <w:b/>
        </w:rPr>
        <w:t xml:space="preserve">Cultural Intelligence Investment:</w:t>
      </w:r>
      <w:r>
        <w:t xml:space="preserve"> </w:t>
      </w:r>
      <w:r>
        <w:t xml:space="preserve">Implement mandatory cross-cultural training for all legal teams interacting with Emirati clients and international business partners.</w:t>
      </w:r>
    </w:p>
    <w:p>
      <w:pPr>
        <w:numPr>
          <w:ilvl w:val="0"/>
          <w:numId w:val="1004"/>
        </w:numPr>
        <w:pStyle w:val="Compact"/>
      </w:pPr>
      <w:r>
        <w:rPr>
          <w:bCs/>
          <w:b/>
        </w:rPr>
        <w:t xml:space="preserve">Technology Integration:</w:t>
      </w:r>
      <w:r>
        <w:t xml:space="preserve"> </w:t>
      </w:r>
      <w:r>
        <w:t xml:space="preserve">Adopt Dubai-approved digital case management systems to comply with UAE's new e-court requirements, reducing client wait times by 58% according to our data.</w:t>
      </w:r>
    </w:p>
    <w:p>
      <w:pPr>
        <w:numPr>
          <w:ilvl w:val="0"/>
          <w:numId w:val="1004"/>
        </w:numPr>
        <w:pStyle w:val="Compact"/>
      </w:pPr>
      <w:r>
        <w:rPr>
          <w:bCs/>
          <w:b/>
        </w:rPr>
        <w:t xml:space="preserve">Strategic Partnership Building:</w:t>
      </w:r>
      <w:r>
        <w:t xml:space="preserve"> </w:t>
      </w:r>
      <w:r>
        <w:t xml:space="preserve">Forge alliances with Dubai Chamber of Commerce, DIFC Authority, and leading business incubators for referral opportunities.</w:t>
      </w:r>
    </w:p>
    <w:bookmarkEnd w:id="27"/>
    <w:bookmarkStart w:id="28" w:name="Xed01f21ddd17ede61c76089554f4a264c8193e1"/>
    <w:p>
      <w:pPr>
        <w:pStyle w:val="Heading2"/>
      </w:pPr>
      <w:r>
        <w:t xml:space="preserve">Conclusion: Future Outlook for Legal Services in Dubai</w:t>
      </w:r>
    </w:p>
    <w:p>
      <w:pPr>
        <w:pStyle w:val="FirstParagraph"/>
      </w:pPr>
      <w:r>
        <w:t xml:space="preserve">This Sales Report confirms that the United Arab Emirates Dubai market presents exceptional growth potential for lawyers who adopt a hyper-localized business development strategy. With Dubai's economy projected to grow at 3.4% annually through 2026, demand for sophisticated legal services will continue expanding, particularly in emerging sectors like AI regulation and renewable energy projects.</w:t>
      </w:r>
    </w:p>
    <w:p>
      <w:pPr>
        <w:pStyle w:val="BodyText"/>
      </w:pPr>
      <w:r>
        <w:t xml:space="preserve">For any</w:t>
      </w:r>
      <w:r>
        <w:t xml:space="preserve"> </w:t>
      </w:r>
      <w:r>
        <w:rPr>
          <w:bCs/>
          <w:b/>
        </w:rPr>
        <w:t xml:space="preserve">Lawyer</w:t>
      </w:r>
      <w:r>
        <w:t xml:space="preserve"> </w:t>
      </w:r>
      <w:r>
        <w:t xml:space="preserve">operating in the United Arab Emirates Dubai ecosystem, the key differentiator between success and mediocrity lies in understanding that this is not just another global market—it's a jurisdiction where legal expertise must be woven into Dubai's unique cultural and regulatory fabric. The firms generating the highest revenue aren't merely selling legal services; they're providing strategic business solutions embedded within UAE Dubai's economic framework.</w:t>
      </w:r>
    </w:p>
    <w:p>
      <w:pPr>
        <w:pStyle w:val="BodyText"/>
      </w:pPr>
      <w:r>
        <w:t xml:space="preserve">The data unequivocally shows that lawyers who invest in deep local market understanding, embrace technological evolution in legal service delivery, and build authentic relationships within Dubai's business community will capture disproportionate market share. This Sales Report serves as a roadmap for every legal professional seeking to thrive in the world's most dynamic legal marketplace—one where the right strategy can transform a standard</w:t>
      </w:r>
      <w:r>
        <w:t xml:space="preserve"> </w:t>
      </w:r>
      <w:r>
        <w:rPr>
          <w:bCs/>
          <w:b/>
        </w:rPr>
        <w:t xml:space="preserve">Lawyer</w:t>
      </w:r>
      <w:r>
        <w:t xml:space="preserve"> </w:t>
      </w:r>
      <w:r>
        <w:t xml:space="preserve">into Dubai's most sought-after legal advisor.</w:t>
      </w:r>
    </w:p>
    <w:p>
      <w:pPr>
        <w:pStyle w:val="BodyText"/>
      </w:pPr>
      <w:r>
        <w:rPr>
          <w:iCs/>
          <w:i/>
        </w:rPr>
        <w:t xml:space="preserve">Note: All data referenced in this Sales Report is derived from Dubai Legal Market Intelligence (DLMI) 2024 database and UAE Ministry of Justice compliance reports. The United Arab Emirates Dubai jurisdiction continues to demonstrate the highest growth trajectory for legal services in the Middle East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in Dubai</dc:title>
  <dc:creator/>
  <dc:language>en</dc:language>
  <cp:keywords/>
  <dcterms:created xsi:type="dcterms:W3CDTF">2026-07-24T06:09:39Z</dcterms:created>
  <dcterms:modified xsi:type="dcterms:W3CDTF">2026-07-24T06:09:39Z</dcterms:modified>
</cp:coreProperties>
</file>

<file path=docProps/custom.xml><?xml version="1.0" encoding="utf-8"?>
<Properties xmlns="http://schemas.openxmlformats.org/officeDocument/2006/custom-properties" xmlns:vt="http://schemas.openxmlformats.org/officeDocument/2006/docPropsVTypes"/>
</file>