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Birmingham</w:t>
      </w:r>
      <w:r>
        <w:t xml:space="preserve"> </w:t>
      </w:r>
      <w:r>
        <w:t xml:space="preserve">Legal</w:t>
      </w:r>
      <w:r>
        <w:t xml:space="preserve"> </w:t>
      </w:r>
      <w:r>
        <w:t xml:space="preserve">Services</w:t>
      </w:r>
      <w:r>
        <w:t xml:space="preserve"> </w:t>
      </w:r>
      <w:r>
        <w:t xml:space="preserve">Performance</w:t>
      </w:r>
    </w:p>
    <w:bookmarkStart w:id="27" w:name="Xbaf8a0c344f75ffc17d744c578bb357d1801fc7"/>
    <w:p>
      <w:pPr>
        <w:pStyle w:val="Heading1"/>
      </w:pPr>
      <w:r>
        <w:t xml:space="preserve">Comprehensive Sales Performance Report: Legal Practice in United Kingdom Birmingham</w:t>
      </w:r>
    </w:p>
    <w:bookmarkStart w:id="26" w:name="X3c4e964dd3145cb9f8a312369abb3ef79a6fba4"/>
    <w:p>
      <w:pPr>
        <w:pStyle w:val="Heading2"/>
      </w:pPr>
      <w:r>
        <w:t xml:space="preserve">Prepared for Internal Stakeholders &amp; Partners | Q3 2023 Quarter Analysis</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Strategic Sales Division, Birmingham Legal Advisory Group</w:t>
      </w:r>
      <w:r>
        <w:br/>
      </w:r>
      <w:r>
        <w:rPr>
          <w:bCs/>
          <w:b/>
        </w:rPr>
        <w:t xml:space="preserve">Document Reference:</w:t>
      </w:r>
      <w:r>
        <w:t xml:space="preserve"> </w:t>
      </w:r>
      <w:r>
        <w:t xml:space="preserve">SLR-BHM-UK-2023Q3</w:t>
      </w:r>
    </w:p>
    <w:bookmarkStart w:id="20" w:name="i.-executive-summary"/>
    <w:p>
      <w:pPr>
        <w:pStyle w:val="Heading3"/>
      </w:pPr>
      <w:r>
        <w:t xml:space="preserve">I. Executive Summary</w:t>
      </w:r>
    </w:p>
    <w:p>
      <w:pPr>
        <w:pStyle w:val="FirstParagraph"/>
      </w:pPr>
      <w:r>
        <w:t xml:space="preserve">This Sales Report provides a detailed analysis of client acquisition, service delivery metrics, and revenue performance for our legal practice across United Kingdom Birmingham during Q3 2023. As the premier law firm serving Birmingham's commercial and personal legal needs, our strategic focus on high-value litigation support, corporate compliance solutions, and family law services has yielded significant growth. This document underscores how our dedicated</w:t>
      </w:r>
      <w:r>
        <w:t xml:space="preserve"> </w:t>
      </w:r>
      <w:r>
        <w:rPr>
          <w:bCs/>
          <w:b/>
        </w:rPr>
        <w:t xml:space="preserve">Lawyer</w:t>
      </w:r>
      <w:r>
        <w:t xml:space="preserve"> </w:t>
      </w:r>
      <w:r>
        <w:t xml:space="preserve">team's expertise in Birmingham's unique regulatory landscape drives sustained business development within the</w:t>
      </w:r>
      <w:r>
        <w:t xml:space="preserve"> </w:t>
      </w:r>
      <w:r>
        <w:rPr>
          <w:bCs/>
          <w:b/>
        </w:rPr>
        <w:t xml:space="preserve">United Kingdom Birmingham</w:t>
      </w:r>
      <w:r>
        <w:t xml:space="preserve"> </w:t>
      </w:r>
      <w:r>
        <w:t xml:space="preserve">market. Total revenue reached £1.84 million for the quarter, representing a 12.7% year-on-year increase and exceeding our target by 9.2%. Critical to this success has been our tailored approach to local client needs in one of England's most dynamic legal markets.</w:t>
      </w:r>
    </w:p>
    <w:bookmarkEnd w:id="20"/>
    <w:bookmarkStart w:id="21" w:name="ii.-sales-performance-highlights"/>
    <w:p>
      <w:pPr>
        <w:pStyle w:val="Heading3"/>
      </w:pPr>
      <w:r>
        <w:t xml:space="preserve">II. Sales Performance Highlights</w:t>
      </w:r>
    </w:p>
    <w:p>
      <w:pPr>
        <w:pStyle w:val="FirstParagraph"/>
      </w:pPr>
      <w:r>
        <w:rPr>
          <w:bCs/>
          <w:b/>
        </w:rPr>
        <w:t xml:space="preserve">Client Acquisition Metrics:</w:t>
      </w:r>
      <w:r>
        <w:t xml:space="preserve"> </w:t>
      </w:r>
      <w:r>
        <w:t xml:space="preserve">Birmingham-based businesses and residents generated 76 new cases through targeted outreach, including 28 corporate clients (a 19% increase over Q2). Our lead conversion rate improved to 41% from last quarter's 35%, directly attributed to enhanced digital engagement strategies for</w:t>
      </w:r>
      <w:r>
        <w:t xml:space="preserve"> </w:t>
      </w:r>
      <w:r>
        <w:rPr>
          <w:bCs/>
          <w:b/>
        </w:rPr>
        <w:t xml:space="preserve">Lawyer</w:t>
      </w:r>
      <w:r>
        <w:t xml:space="preserve"> </w:t>
      </w:r>
      <w:r>
        <w:t xml:space="preserve">services. Notably, Birmingham City Council's recent procurement of legal compliance services secured a £320,000 contract – the largest single client win in our firm's history within</w:t>
      </w:r>
      <w:r>
        <w:t xml:space="preserve"> </w:t>
      </w:r>
      <w:r>
        <w:rPr>
          <w:bCs/>
          <w:b/>
        </w:rPr>
        <w:t xml:space="preserve">United Kingdom Birmingham</w:t>
      </w:r>
      <w:r>
        <w:t xml:space="preserve">.</w:t>
      </w:r>
    </w:p>
    <w:p>
      <w:pPr>
        <w:pStyle w:val="BodyText"/>
      </w:pPr>
      <w:r>
        <w:rPr>
          <w:bCs/>
          <w:b/>
        </w:rPr>
        <w:t xml:space="preserve">Revenue Streams Breakdown:</w:t>
      </w:r>
    </w:p>
    <w:p>
      <w:pPr>
        <w:numPr>
          <w:ilvl w:val="0"/>
          <w:numId w:val="1001"/>
        </w:numPr>
        <w:pStyle w:val="Compact"/>
      </w:pPr>
      <w:r>
        <w:rPr>
          <w:iCs/>
          <w:i/>
        </w:rPr>
        <w:t xml:space="preserve">Commercial Litigation:</w:t>
      </w:r>
      <w:r>
        <w:t xml:space="preserve"> </w:t>
      </w:r>
      <w:r>
        <w:t xml:space="preserve">42% (£773,000) – Growth driven by manufacturing sector disputes in Birmingham's industrial zones</w:t>
      </w:r>
    </w:p>
    <w:p>
      <w:pPr>
        <w:numPr>
          <w:ilvl w:val="0"/>
          <w:numId w:val="1001"/>
        </w:numPr>
        <w:pStyle w:val="Compact"/>
      </w:pPr>
      <w:r>
        <w:rPr>
          <w:iCs/>
          <w:i/>
        </w:rPr>
        <w:t xml:space="preserve">Criminal Defense:</w:t>
      </w:r>
      <w:r>
        <w:t xml:space="preserve"> </w:t>
      </w:r>
      <w:r>
        <w:t xml:space="preserve">28% (£515,000) – Surge following new sentencing guidelines impacting West Midlands cases</w:t>
      </w:r>
    </w:p>
    <w:p>
      <w:pPr>
        <w:numPr>
          <w:ilvl w:val="0"/>
          <w:numId w:val="1001"/>
        </w:numPr>
        <w:pStyle w:val="Compact"/>
      </w:pPr>
      <w:r>
        <w:rPr>
          <w:iCs/>
          <w:i/>
        </w:rPr>
        <w:t xml:space="preserve">Family Law:</w:t>
      </w:r>
      <w:r>
        <w:t xml:space="preserve"> </w:t>
      </w:r>
      <w:r>
        <w:t xml:space="preserve">19% (£349,600) – Strong demand for divorce mediation services across Birmingham boroughs</w:t>
      </w:r>
    </w:p>
    <w:p>
      <w:pPr>
        <w:numPr>
          <w:ilvl w:val="0"/>
          <w:numId w:val="1001"/>
        </w:numPr>
        <w:pStyle w:val="Compact"/>
      </w:pPr>
      <w:r>
        <w:rPr>
          <w:iCs/>
          <w:i/>
        </w:rPr>
        <w:t xml:space="preserve">Corporate Advisory:</w:t>
      </w:r>
      <w:r>
        <w:t xml:space="preserve"> </w:t>
      </w:r>
      <w:r>
        <w:t xml:space="preserve">11% (£202,400) – Rising interest in GDPR compliance among local SMEs</w:t>
      </w:r>
    </w:p>
    <w:p>
      <w:pPr>
        <w:pStyle w:val="FirstParagraph"/>
      </w:pPr>
      <w:r>
        <w:t xml:space="preserve">The strategic decision to specialize in Birmingham-specific legal challenges (e.g., redevelopment disputes near Grand Central development site) directly contributed to a 37% increase in repeat client referrals – a testament to our</w:t>
      </w:r>
      <w:r>
        <w:t xml:space="preserve"> </w:t>
      </w:r>
      <w:r>
        <w:rPr>
          <w:bCs/>
          <w:b/>
        </w:rPr>
        <w:t xml:space="preserve">Lawyer</w:t>
      </w:r>
      <w:r>
        <w:t xml:space="preserve"> </w:t>
      </w:r>
      <w:r>
        <w:t xml:space="preserve">team's regional expertise.</w:t>
      </w:r>
    </w:p>
    <w:bookmarkEnd w:id="21"/>
    <w:bookmarkStart w:id="22" w:name="Xdb9979327914ccfa768d8b98d0129b481e18d18"/>
    <w:p>
      <w:pPr>
        <w:pStyle w:val="Heading3"/>
      </w:pPr>
      <w:r>
        <w:t xml:space="preserve">III. Birmingham Market Analysis: Key Insights</w:t>
      </w:r>
    </w:p>
    <w:p>
      <w:pPr>
        <w:pStyle w:val="FirstParagraph"/>
      </w:pPr>
      <w:r>
        <w:rPr>
          <w:bCs/>
          <w:b/>
        </w:rPr>
        <w:t xml:space="preserve">Regional Economic Drivers:</w:t>
      </w:r>
      <w:r>
        <w:t xml:space="preserve"> </w:t>
      </w:r>
      <w:r>
        <w:t xml:space="preserve">Birmingham's position as the UK's second-largest city and EU exit transition hub has created unique legal demand patterns. Our Q3 data reveals that 68% of new commercial clients sought services related to Brexit compliance or cross-border trade disputes – a trend absent in other UK regions. The</w:t>
      </w:r>
      <w:r>
        <w:t xml:space="preserve"> </w:t>
      </w:r>
      <w:r>
        <w:rPr>
          <w:bCs/>
          <w:b/>
        </w:rPr>
        <w:t xml:space="preserve">United Kingdom Birmingham</w:t>
      </w:r>
      <w:r>
        <w:t xml:space="preserve"> </w:t>
      </w:r>
      <w:r>
        <w:t xml:space="preserve">market now accounts for 29% of our national revenue, up from 24% in Q3 2022.</w:t>
      </w:r>
    </w:p>
    <w:p>
      <w:pPr>
        <w:pStyle w:val="BodyText"/>
      </w:pPr>
      <w:r>
        <w:rPr>
          <w:bCs/>
          <w:b/>
        </w:rPr>
        <w:t xml:space="preserve">Competitive Positioning:</w:t>
      </w:r>
      <w:r>
        <w:t xml:space="preserve"> </w:t>
      </w:r>
      <w:r>
        <w:t xml:space="preserve">Local competitors struggle with inconsistent service quality during high-volume periods (e.g., summer court sessions). Our Birmingham office's implementation of AI-driven case management systems reduced response times by 33%, a critical differentiator. The "Birmingham Legal Partner" program – offering free first consultations at local community centers – generated 142 qualified leads, exceeding our target by 76%.</w:t>
      </w:r>
    </w:p>
    <w:bookmarkEnd w:id="22"/>
    <w:bookmarkStart w:id="23" w:name="iv.-challenges-and-strategic-response"/>
    <w:p>
      <w:pPr>
        <w:pStyle w:val="Heading3"/>
      </w:pPr>
      <w:r>
        <w:t xml:space="preserve">IV. Challenges and Strategic Response</w:t>
      </w:r>
    </w:p>
    <w:p>
      <w:pPr>
        <w:pStyle w:val="FirstParagraph"/>
      </w:pPr>
      <w:r>
        <w:rPr>
          <w:bCs/>
          <w:b/>
        </w:rPr>
        <w:t xml:space="preserve">Key Challenge:</w:t>
      </w:r>
      <w:r>
        <w:t xml:space="preserve"> </w:t>
      </w:r>
      <w:r>
        <w:t xml:space="preserve">Rising legal aid budget cuts in Birmingham's public sector have pressured family law revenue streams. The average solicitor fee for publicly funded cases dropped 18% in Q3, threatening profitability.</w:t>
      </w:r>
    </w:p>
    <w:p>
      <w:pPr>
        <w:pStyle w:val="BodyText"/>
      </w:pPr>
      <w:r>
        <w:rPr>
          <w:bCs/>
          <w:b/>
        </w:rPr>
        <w:t xml:space="preserve">Strategic Response:</w:t>
      </w:r>
      <w:r>
        <w:t xml:space="preserve"> </w:t>
      </w:r>
      <w:r>
        <w:t xml:space="preserve">We pivoted to develop premium private consultation packages focused on "fast-track divorce" services – a service highly requested by Birmingham residents during tax season. This initiative generated £87,000 in new revenue within 45 days, offsetting 23% of the public sector loss. Simultaneously, our</w:t>
      </w:r>
      <w:r>
        <w:t xml:space="preserve"> </w:t>
      </w:r>
      <w:r>
        <w:rPr>
          <w:bCs/>
          <w:b/>
        </w:rPr>
        <w:t xml:space="preserve">Lawyer</w:t>
      </w:r>
      <w:r>
        <w:t xml:space="preserve"> </w:t>
      </w:r>
      <w:r>
        <w:t xml:space="preserve">team conducted free workshops at Birmingham Women's Hospital on legal rights during medical emergencies – establishing us as community-focused advocates.</w:t>
      </w:r>
    </w:p>
    <w:bookmarkEnd w:id="23"/>
    <w:bookmarkStart w:id="24" w:name="X6362351d1e08020703c98840755179cd3d5e9e4"/>
    <w:p>
      <w:pPr>
        <w:pStyle w:val="Heading3"/>
      </w:pPr>
      <w:r>
        <w:t xml:space="preserve">V. Future Outlook &amp; Growth Strategy (Q4 2023)</w:t>
      </w:r>
    </w:p>
    <w:p>
      <w:pPr>
        <w:pStyle w:val="FirstParagraph"/>
      </w:pPr>
      <w:r>
        <w:rPr>
          <w:bCs/>
          <w:b/>
        </w:rPr>
        <w:t xml:space="preserve">Growth Targets:</w:t>
      </w:r>
      <w:r>
        <w:t xml:space="preserve"> </w:t>
      </w:r>
      <w:r>
        <w:t xml:space="preserve">We project £2.1 million revenue for Q4, driven by three key Birmingham initiatives:</w:t>
      </w:r>
    </w:p>
    <w:p>
      <w:pPr>
        <w:numPr>
          <w:ilvl w:val="0"/>
          <w:numId w:val="1002"/>
        </w:numPr>
        <w:pStyle w:val="Compact"/>
      </w:pPr>
      <w:r>
        <w:rPr>
          <w:iCs/>
          <w:i/>
        </w:rPr>
        <w:t xml:space="preserve">Birmingham Tech Hub Legal Support:</w:t>
      </w:r>
      <w:r>
        <w:t xml:space="preserve"> </w:t>
      </w:r>
      <w:r>
        <w:t xml:space="preserve">Partnering with Thinktank science park to offer IP protection workshops (projected £150k revenue)</w:t>
      </w:r>
    </w:p>
    <w:p>
      <w:pPr>
        <w:numPr>
          <w:ilvl w:val="0"/>
          <w:numId w:val="1002"/>
        </w:numPr>
        <w:pStyle w:val="Compact"/>
      </w:pPr>
      <w:r>
        <w:rPr>
          <w:iCs/>
          <w:i/>
        </w:rPr>
        <w:t xml:space="preserve">Migrant Rights Advocacy:</w:t>
      </w:r>
      <w:r>
        <w:t xml:space="preserve"> </w:t>
      </w:r>
      <w:r>
        <w:t xml:space="preserve">Responding to increased EU citizen relocation post-Brexit, expanding our Birmingham office's immigration team</w:t>
      </w:r>
    </w:p>
    <w:p>
      <w:pPr>
        <w:pStyle w:val="FirstParagraph"/>
      </w:pPr>
      <w:r>
        <w:t xml:space="preserve">The upcoming Midlands Legal Summit at ICC Birmingham will be pivotal. We've secured prime speaking slots for our lead</w:t>
      </w:r>
      <w:r>
        <w:t xml:space="preserve"> </w:t>
      </w:r>
      <w:r>
        <w:rPr>
          <w:bCs/>
          <w:b/>
        </w:rPr>
        <w:t xml:space="preserve">Lawyer</w:t>
      </w:r>
      <w:r>
        <w:t xml:space="preserve"> </w:t>
      </w:r>
      <w:r>
        <w:t xml:space="preserve">team to showcase expertise in "Birmingham's Evolving Regulatory Environment" – expected to generate 50+ quality leads.</w:t>
      </w:r>
    </w:p>
    <w:bookmarkEnd w:id="24"/>
    <w:bookmarkStart w:id="25" w:name="vi.-conclusion-the-birmingham-advantage"/>
    <w:p>
      <w:pPr>
        <w:pStyle w:val="Heading3"/>
      </w:pPr>
      <w:r>
        <w:t xml:space="preserve">VI. Conclusion: The Birmingham Advantage</w:t>
      </w:r>
    </w:p>
    <w:p>
      <w:pPr>
        <w:pStyle w:val="FirstParagraph"/>
      </w:pPr>
      <w:r>
        <w:t xml:space="preserve">This Sales Report confirms that our specialized focus on the</w:t>
      </w:r>
      <w:r>
        <w:t xml:space="preserve"> </w:t>
      </w:r>
      <w:r>
        <w:rPr>
          <w:bCs/>
          <w:b/>
        </w:rPr>
        <w:t xml:space="preserve">United Kingdom Birmingham</w:t>
      </w:r>
      <w:r>
        <w:t xml:space="preserve"> </w:t>
      </w:r>
      <w:r>
        <w:t xml:space="preserve">legal ecosystem is not merely advantageous but essential for sustainable growth. Our data demonstrates that localized expertise directly correlates with 4.2x higher client retention rates compared to national competitors. The success of our Birmingham office proves that a</w:t>
      </w:r>
      <w:r>
        <w:t xml:space="preserve"> </w:t>
      </w:r>
      <w:r>
        <w:rPr>
          <w:bCs/>
          <w:b/>
        </w:rPr>
        <w:t xml:space="preserve">Lawyer</w:t>
      </w:r>
      <w:r>
        <w:t xml:space="preserve">'s understanding of regional nuances – from Small Heath housing disputes to Edgbaston business regulations – creates unassailable competitive advantage.</w:t>
      </w:r>
    </w:p>
    <w:p>
      <w:pPr>
        <w:pStyle w:val="BodyText"/>
      </w:pPr>
      <w:r>
        <w:t xml:space="preserve">As we enter 2024, the continued investment in Birmingham-specific service development will position us as the definitive legal partner for businesses navigating the Midlands' complex commercial landscape. Our Q3 performance establishes a new benchmark: in the</w:t>
      </w:r>
      <w:r>
        <w:t xml:space="preserve"> </w:t>
      </w:r>
      <w:r>
        <w:rPr>
          <w:bCs/>
          <w:b/>
        </w:rPr>
        <w:t xml:space="preserve">United Kingdom Birmingham</w:t>
      </w:r>
      <w:r>
        <w:t xml:space="preserve"> </w:t>
      </w:r>
      <w:r>
        <w:t xml:space="preserve">market, expertise isn't just valuable—it's the sole driver of measurable growth. We recommend allocating 35% of 2024 marketing budget to Birmingham-specific initiatives, as this region consistently delivers 21% higher lifetime client value than other UK markets.</w:t>
      </w:r>
    </w:p>
    <w:p>
      <w:pPr>
        <w:pStyle w:val="BodyText"/>
      </w:pPr>
      <w:r>
        <w:rPr>
          <w:bCs/>
          <w:b/>
        </w:rPr>
        <w:t xml:space="preserve">Recommendation:</w:t>
      </w:r>
      <w:r>
        <w:t xml:space="preserve"> </w:t>
      </w:r>
      <w:r>
        <w:t xml:space="preserve">Approve immediate expansion of our Birmingham office by two additional</w:t>
      </w:r>
      <w:r>
        <w:t xml:space="preserve"> </w:t>
      </w:r>
      <w:r>
        <w:rPr>
          <w:bCs/>
          <w:b/>
        </w:rPr>
        <w:t xml:space="preserve">Lawyer</w:t>
      </w:r>
      <w:r>
        <w:t xml:space="preserve"> </w:t>
      </w:r>
      <w:r>
        <w:t xml:space="preserve">positions specializing in construction law (catering to the £3.8bn Birmingham City Centre regeneration program) and digital rights compliance (addressing rising GDPR concerns in local tech startups).</w:t>
      </w:r>
    </w:p>
    <w:p>
      <w:r>
        <w:pict>
          <v:rect style="width:0;height:1.5pt" o:hralign="center" o:hrstd="t" o:hr="t"/>
        </w:pict>
      </w:r>
    </w:p>
    <w:p>
      <w:pPr>
        <w:pStyle w:val="FirstParagraph"/>
      </w:pPr>
      <w:r>
        <w:rPr>
          <w:iCs/>
          <w:i/>
        </w:rPr>
        <w:t xml:space="preserve">This Sales Report complies with Solicitors Regulation Authority standards for professional communications. All data verified through our Birmingham-based practice management system (Birmingham Legal Suite v4.2). Confidential: For internal use only.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Birmingham Legal Services Performance</dc:title>
  <dc:creator/>
  <dc:language>en</dc:language>
  <cp:keywords/>
  <dcterms:created xsi:type="dcterms:W3CDTF">2026-07-24T04:00:15Z</dcterms:created>
  <dcterms:modified xsi:type="dcterms:W3CDTF">2026-07-24T04:00:15Z</dcterms:modified>
</cp:coreProperties>
</file>

<file path=docProps/custom.xml><?xml version="1.0" encoding="utf-8"?>
<Properties xmlns="http://schemas.openxmlformats.org/officeDocument/2006/custom-properties" xmlns:vt="http://schemas.openxmlformats.org/officeDocument/2006/docPropsVTypes"/>
</file>