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b59693018941d0c5b4f66bc0972b4cb6ca64773"/>
    <w:p>
      <w:pPr>
        <w:pStyle w:val="Heading1"/>
      </w:pPr>
      <w:r>
        <w:t xml:space="preserve">Comprehensive Sales Report: Legal Services Performance Analysis for Law Firms in United Kingdom London (Q3 2023)</w:t>
      </w:r>
    </w:p>
    <w:bookmarkStart w:id="20" w:name="executive-summary"/>
    <w:p>
      <w:pPr>
        <w:pStyle w:val="Heading2"/>
      </w:pPr>
      <w:r>
        <w:t xml:space="preserve">Executive Summary</w:t>
      </w:r>
    </w:p>
    <w:p>
      <w:pPr>
        <w:pStyle w:val="FirstParagraph"/>
      </w:pPr>
      <w:r>
        <w:t xml:space="preserve">This quarterly sales report provides a detailed analysis of legal service performance across key practice areas within the United Kingdom London market. As one of the world's leading legal hubs, London's competitive landscape demands precise sales strategy adaptation. The report confirms that our firm has achieved 15% year-over-year revenue growth in Q3 2023, significantly outperforming the sector average of 7.8%. This success stems from targeted service innovation and deep market understanding specific to United Kingdom London's unique legal ecosystem. The data presented here will serve as a critical benchmark for future sales planning across all metropolitan legal practices.</w:t>
      </w:r>
    </w:p>
    <w:bookmarkEnd w:id="20"/>
    <w:bookmarkStart w:id="21" w:name="X6be82fca1855d88aedebd7a290ed2972d761d6d"/>
    <w:p>
      <w:pPr>
        <w:pStyle w:val="Heading2"/>
      </w:pPr>
      <w:r>
        <w:t xml:space="preserve">Market Context: London's Legal Sales Environment</w:t>
      </w:r>
    </w:p>
    <w:p>
      <w:pPr>
        <w:pStyle w:val="FirstParagraph"/>
      </w:pPr>
      <w:r>
        <w:t xml:space="preserve">London remains the premier destination for complex legal transactions within the United Kingdom, handling over 60% of the nation's high-value commercial cases. Our sales data reveals that clients in London prioritize three factors above all: sector-specific expertise (87%), regulatory compliance assurance (79%), and strategic business alignment (68%). This market dynamic necessitates that every lawyer positioning services must demonstrate acute understanding of both UK legislation and London's distinct business culture. The recent introduction of the Legal Services Act 2023 has further intensified competition, requiring law firms to reconfigure sales approaches for maximum effectiveness in this premium market.</w:t>
      </w:r>
    </w:p>
    <w:bookmarkEnd w:id="21"/>
    <w:bookmarkStart w:id="23" w:name="key-sales-performance-metrics"/>
    <w:p>
      <w:pPr>
        <w:pStyle w:val="Heading2"/>
      </w:pPr>
      <w:r>
        <w:t xml:space="preserve">Key Sales Performance Metrics</w:t>
      </w:r>
    </w:p>
    <w:bookmarkStart w:id="22" w:name="revenue-streams-breakdown-london-market"/>
    <w:p>
      <w:pPr>
        <w:pStyle w:val="Heading3"/>
      </w:pPr>
      <w:r>
        <w:t xml:space="preserve">Revenue Streams Breakdown (London Market)</w:t>
      </w:r>
    </w:p>
    <w:p>
      <w:pPr>
        <w:pStyle w:val="FirstParagraph"/>
      </w:pPr>
      <w:r>
        <w:t xml:space="preserve">Practice Area</w:t>
      </w:r>
    </w:p>
    <w:p>
      <w:pPr>
        <w:pStyle w:val="BodyText"/>
      </w:pPr>
      <w:r>
        <w:t xml:space="preserve">% of Total Revenue</w:t>
      </w:r>
    </w:p>
    <w:p>
      <w:pPr>
        <w:pStyle w:val="BodyText"/>
      </w:pPr>
      <w:r>
        <w:t xml:space="preserve">YoY Growth</w:t>
      </w:r>
    </w:p>
    <w:p>
      <w:pPr>
        <w:pStyle w:val="BodyText"/>
      </w:pPr>
      <w:r>
        <w:t xml:space="preserve">Top London Client Sectors</w:t>
      </w:r>
    </w:p>
    <w:p>
      <w:pPr>
        <w:pStyle w:val="BodyText"/>
      </w:pPr>
      <w:r>
        <w:t xml:space="preserve">Cross-Border Commercial Law</w:t>
      </w:r>
    </w:p>
    <w:p>
      <w:pPr>
        <w:pStyle w:val="BodyText"/>
      </w:pPr>
      <w:r>
        <w:t xml:space="preserve">32%</w:t>
      </w:r>
    </w:p>
    <w:p>
      <w:pPr>
        <w:pStyle w:val="BodyText"/>
      </w:pPr>
      <w:r>
        <w:t xml:space="preserve">+24.5%</w:t>
      </w:r>
    </w:p>
    <w:p>
      <w:pPr>
        <w:pStyle w:val="BodyText"/>
      </w:pPr>
      <w:r>
        <w:t xml:space="preserve">FinTech, Real Estate, International Trade</w:t>
      </w:r>
    </w:p>
    <w:p>
      <w:pPr>
        <w:pStyle w:val="BodyText"/>
      </w:pPr>
      <w:r>
        <w:t xml:space="preserve">Regulatory Compliance (UK)</w:t>
      </w:r>
    </w:p>
    <w:p>
      <w:pPr>
        <w:pStyle w:val="BodyText"/>
      </w:pPr>
      <w:r>
        <w:t xml:space="preserve">28%</w:t>
      </w:r>
    </w:p>
    <w:p>
      <w:pPr>
        <w:pStyle w:val="BodyText"/>
      </w:pPr>
      <w:r>
        <w:t xml:space="preserve">+19.7%</w:t>
      </w:r>
    </w:p>
    <w:p>
      <w:pPr>
        <w:pStyle w:val="BodyText"/>
      </w:pPr>
      <w:r>
        <w:t xml:space="preserve">Financial Services, Healthcare, Energy</w:t>
      </w:r>
    </w:p>
    <w:p>
      <w:pPr>
        <w:pStyle w:val="BodyText"/>
      </w:pPr>
      <w:r>
        <w:t xml:space="preserve">Mergers &amp; Acquisitions</w:t>
      </w:r>
    </w:p>
    <w:p>
      <w:pPr>
        <w:pStyle w:val="BodyText"/>
      </w:pPr>
      <w:r>
        <w:t xml:space="preserve">21%</w:t>
      </w:r>
    </w:p>
    <w:p>
      <w:pPr>
        <w:pStyle w:val="BodyText"/>
      </w:pPr>
      <w:r>
        <w:t xml:space="preserve">+14.3%</w:t>
      </w:r>
    </w:p>
    <w:p>
      <w:pPr>
        <w:pStyle w:val="BodyText"/>
      </w:pPr>
      <w:r>
        <w:t xml:space="preserve">Digital Platforms, Infrastructure Projects</w:t>
      </w:r>
    </w:p>
    <w:p>
      <w:pPr>
        <w:pStyle w:val="BodyText"/>
      </w:pPr>
      <w:r>
        <w:t xml:space="preserve">Employment &amp; Immigration Law</w:t>
      </w:r>
    </w:p>
    <w:p>
      <w:pPr>
        <w:pStyle w:val="BodyText"/>
      </w:pPr>
      <w:r>
        <w:t xml:space="preserve">19%</w:t>
      </w:r>
    </w:p>
    <w:p>
      <w:pPr>
        <w:pStyle w:val="BodyText"/>
      </w:pPr>
      <w:r>
        <w:t xml:space="preserve">+8.2%</w:t>
      </w:r>
    </w:p>
    <w:p>
      <w:pPr>
        <w:pStyle w:val="BodyText"/>
      </w:pPr>
      <w:r>
        <w:t xml:space="preserve">The data demonstrates a clear shift in London's legal market priorities toward high-complexity commercial services, with cross-border transactions driving 32% of total revenue. Notably, our firm has secured 47 new corporate clients in the City of London financial district alone this quarter – a 35% increase from Q2. This growth directly correlates with our specialized sales outreach targeting London-based multinational headquarters during key regulatory compliance cycles.</w:t>
      </w:r>
    </w:p>
    <w:bookmarkEnd w:id="22"/>
    <w:bookmarkEnd w:id="23"/>
    <w:bookmarkStart w:id="24" w:name="X4ebe6c2caea7282f8452b5d8741370d7964cc71"/>
    <w:p>
      <w:pPr>
        <w:pStyle w:val="Heading2"/>
      </w:pPr>
      <w:r>
        <w:t xml:space="preserve">Client Acquisition Strategy Effectiveness</w:t>
      </w:r>
    </w:p>
    <w:p>
      <w:pPr>
        <w:pStyle w:val="FirstParagraph"/>
      </w:pPr>
      <w:r>
        <w:t xml:space="preserve">Our sales team's targeted approach to United Kingdom London has yielded exceptional results through three strategic initiatives:</w:t>
      </w:r>
    </w:p>
    <w:p>
      <w:pPr>
        <w:numPr>
          <w:ilvl w:val="0"/>
          <w:numId w:val="1001"/>
        </w:numPr>
        <w:pStyle w:val="Compact"/>
      </w:pPr>
      <w:r>
        <w:rPr>
          <w:bCs/>
          <w:b/>
        </w:rPr>
        <w:t xml:space="preserve">London Regulatory Intelligence Hub:</w:t>
      </w:r>
      <w:r>
        <w:t xml:space="preserve"> </w:t>
      </w:r>
      <w:r>
        <w:t xml:space="preserve">Monthly briefings on evolving UK legislation (including GDPR 2023 amendments and new financial services rules) converted 68% of prospects into qualified leads. This service positioned our lawyer team as indispensable market navigators for London-based firms facing compliance uncertainty.</w:t>
      </w:r>
    </w:p>
    <w:p>
      <w:pPr>
        <w:numPr>
          <w:ilvl w:val="0"/>
          <w:numId w:val="1001"/>
        </w:numPr>
        <w:pStyle w:val="Compact"/>
      </w:pPr>
      <w:r>
        <w:rPr>
          <w:bCs/>
          <w:b/>
        </w:rPr>
        <w:t xml:space="preserve">Quarterly Business Health Assessments:</w:t>
      </w:r>
      <w:r>
        <w:t xml:space="preserve"> </w:t>
      </w:r>
      <w:r>
        <w:t xml:space="preserve">Free diagnostic sessions conducted with London businesses identified hidden legal risk areas, resulting in a 41% higher conversion rate than traditional sales pitches. One major retail client secured our commercial services after this assessment revealed £2.3M exposure in franchise agreements.</w:t>
      </w:r>
    </w:p>
    <w:p>
      <w:pPr>
        <w:numPr>
          <w:ilvl w:val="0"/>
          <w:numId w:val="1001"/>
        </w:numPr>
        <w:pStyle w:val="Compact"/>
      </w:pPr>
      <w:r>
        <w:rPr>
          <w:bCs/>
          <w:b/>
        </w:rPr>
        <w:t xml:space="preserve">London Legal Network Partnerships:</w:t>
      </w:r>
      <w:r>
        <w:t xml:space="preserve"> </w:t>
      </w:r>
      <w:r>
        <w:t xml:space="preserve">Strategic alliances with leading London property developers and financial institutions generated 57% of new high-value accounts, demonstrating the value of ecosystem-based sales rather than transactional outreach.</w:t>
      </w:r>
    </w:p>
    <w:bookmarkEnd w:id="24"/>
    <w:bookmarkStart w:id="25" w:name="challenges-in-london-sales-environment"/>
    <w:p>
      <w:pPr>
        <w:pStyle w:val="Heading2"/>
      </w:pPr>
      <w:r>
        <w:t xml:space="preserve">Challenges in London Sales Environment</w:t>
      </w:r>
    </w:p>
    <w:p>
      <w:pPr>
        <w:pStyle w:val="FirstParagraph"/>
      </w:pPr>
      <w:r>
        <w:t xml:space="preserve">Despite strong performance, we identified critical challenges requiring immediate sales strategy adjustments:</w:t>
      </w:r>
    </w:p>
    <w:p>
      <w:pPr>
        <w:numPr>
          <w:ilvl w:val="0"/>
          <w:numId w:val="1002"/>
        </w:numPr>
        <w:pStyle w:val="Compact"/>
      </w:pPr>
      <w:r>
        <w:rPr>
          <w:bCs/>
          <w:b/>
        </w:rPr>
        <w:t xml:space="preserve">Economic Sensitivity:</w:t>
      </w:r>
      <w:r>
        <w:t xml:space="preserve"> </w:t>
      </w:r>
      <w:r>
        <w:t xml:space="preserve">63% of London SMEs delayed legal service procurement during Q3 due to cost concerns, necessitating flexible engagement models. Our new 'Legal Retainer Plus' package addressing this has already captured 28 new SME clients.</w:t>
      </w:r>
    </w:p>
    <w:p>
      <w:pPr>
        <w:numPr>
          <w:ilvl w:val="0"/>
          <w:numId w:val="1002"/>
        </w:numPr>
        <w:pStyle w:val="Compact"/>
      </w:pPr>
      <w:r>
        <w:rPr>
          <w:bCs/>
          <w:b/>
        </w:rPr>
        <w:t xml:space="preserve">Competition Intensity:</w:t>
      </w:r>
      <w:r>
        <w:t xml:space="preserve"> </w:t>
      </w:r>
      <w:r>
        <w:t xml:space="preserve">The number of law firms competing for London's top-tier corporate business increased by 19% year-on-year, demanding superior sales differentiation. We've implemented specialized 'London Market Positioning' training for all lawyers in sales roles.</w:t>
      </w:r>
    </w:p>
    <w:p>
      <w:pPr>
        <w:numPr>
          <w:ilvl w:val="0"/>
          <w:numId w:val="1002"/>
        </w:numPr>
        <w:pStyle w:val="Compact"/>
      </w:pPr>
      <w:r>
        <w:rPr>
          <w:bCs/>
          <w:b/>
        </w:rPr>
        <w:t xml:space="preserve">Client Expectation Shifts:</w:t>
      </w:r>
      <w:r>
        <w:t xml:space="preserve"> </w:t>
      </w:r>
      <w:r>
        <w:t xml:space="preserve">London-based clients now expect digital-first interactions (87% require online scheduling), requiring our firm to upgrade CRM systems and implement AI-powered client engagement tools by Q1 2024.</w:t>
      </w:r>
    </w:p>
    <w:bookmarkEnd w:id="25"/>
    <w:bookmarkStart w:id="26" w:name="X7599ee25ca65f6eafd4e704a4fe2957e225ed76"/>
    <w:p>
      <w:pPr>
        <w:pStyle w:val="Heading2"/>
      </w:pPr>
      <w:r>
        <w:t xml:space="preserve">Opportunities for Sales Growth in United Kingdom London</w:t>
      </w:r>
    </w:p>
    <w:p>
      <w:pPr>
        <w:pStyle w:val="FirstParagraph"/>
      </w:pPr>
      <w:r>
        <w:t xml:space="preserve">Analysis reveals three high-potential growth vectors currently underexploited in the London market:</w:t>
      </w:r>
    </w:p>
    <w:p>
      <w:pPr>
        <w:numPr>
          <w:ilvl w:val="0"/>
          <w:numId w:val="1003"/>
        </w:numPr>
        <w:pStyle w:val="Compact"/>
      </w:pPr>
      <w:r>
        <w:rPr>
          <w:bCs/>
          <w:b/>
        </w:rPr>
        <w:t xml:space="preserve">Sustainability Compliance Services:</w:t>
      </w:r>
      <w:r>
        <w:t xml:space="preserve"> </w:t>
      </w:r>
      <w:r>
        <w:t xml:space="preserve">With London's new Environmental, Social and Governance (ESG) regulations, 73% of major corporations require legal support. Our pilot ESG compliance service generated £1.2M in pipeline within two months.</w:t>
      </w:r>
    </w:p>
    <w:p>
      <w:pPr>
        <w:numPr>
          <w:ilvl w:val="0"/>
          <w:numId w:val="1003"/>
        </w:numPr>
        <w:pStyle w:val="Compact"/>
      </w:pPr>
      <w:r>
        <w:rPr>
          <w:bCs/>
          <w:b/>
        </w:rPr>
        <w:t xml:space="preserve">Digital Transformation Legal Support:</w:t>
      </w:r>
      <w:r>
        <w:t xml:space="preserve"> </w:t>
      </w:r>
      <w:r>
        <w:t xml:space="preserve">The surge in London-based tech startups requires specialized intellectual property and data governance services – an area where 89% of competitors lack dedicated sales teams.</w:t>
      </w:r>
    </w:p>
    <w:p>
      <w:pPr>
        <w:numPr>
          <w:ilvl w:val="0"/>
          <w:numId w:val="1003"/>
        </w:numPr>
        <w:pStyle w:val="Compact"/>
      </w:pPr>
      <w:r>
        <w:rPr>
          <w:bCs/>
          <w:b/>
        </w:rPr>
        <w:t xml:space="preserve">Post-Brexit Trade Navigation:</w:t>
      </w:r>
      <w:r>
        <w:t xml:space="preserve"> </w:t>
      </w:r>
      <w:r>
        <w:t xml:space="preserve">Our new 'UK-EU Trade Compliance Service' specifically targets London logistics firms, with 15 confirmed contracts secured in Q3 at average value £420K per client.</w:t>
      </w:r>
    </w:p>
    <w:bookmarkEnd w:id="26"/>
    <w:bookmarkStart w:id="27" w:name="strategic-recommendations"/>
    <w:p>
      <w:pPr>
        <w:pStyle w:val="Heading2"/>
      </w:pPr>
      <w:r>
        <w:t xml:space="preserve">Strategic Recommendations</w:t>
      </w:r>
    </w:p>
    <w:p>
      <w:pPr>
        <w:pStyle w:val="FirstParagraph"/>
      </w:pPr>
      <w:r>
        <w:t xml:space="preserve">To sustain and accelerate sales growth in United Kingdom London, we recommend the following actions:</w:t>
      </w:r>
    </w:p>
    <w:p>
      <w:pPr>
        <w:numPr>
          <w:ilvl w:val="0"/>
          <w:numId w:val="1004"/>
        </w:numPr>
        <w:pStyle w:val="Compact"/>
      </w:pPr>
      <w:r>
        <w:t xml:space="preserve">Allocate 35% of annual sales development budget to create specialized London market intelligence reports for client acquisition (current investment: 12%)</w:t>
      </w:r>
    </w:p>
    <w:p>
      <w:pPr>
        <w:numPr>
          <w:ilvl w:val="0"/>
          <w:numId w:val="1004"/>
        </w:numPr>
        <w:pStyle w:val="Compact"/>
      </w:pPr>
      <w:r>
        <w:t xml:space="preserve">Establish dedicated 'London Sales Task Force' with senior lawyers embedded in key client sectors (financial services, real estate) by Q1 2024</w:t>
      </w:r>
    </w:p>
    <w:p>
      <w:pPr>
        <w:numPr>
          <w:ilvl w:val="0"/>
          <w:numId w:val="1004"/>
        </w:numPr>
        <w:pStyle w:val="Compact"/>
      </w:pPr>
      <w:r>
        <w:t xml:space="preserve">Develop a digital sales playbook specifically for UK London's compliance-driven market, including virtual regulatory workshops and AI-powered case study generation</w:t>
      </w:r>
    </w:p>
    <w:p>
      <w:pPr>
        <w:numPr>
          <w:ilvl w:val="0"/>
          <w:numId w:val="1004"/>
        </w:numPr>
        <w:pStyle w:val="Compact"/>
      </w:pPr>
      <w:r>
        <w:t xml:space="preserve">Implement quarterly 'London Legal Trends' webinars featuring our lawyer team to position the firm as thought leaders in the metropolitan market</w:t>
      </w:r>
    </w:p>
    <w:bookmarkEnd w:id="27"/>
    <w:bookmarkStart w:id="28" w:name="conclusion-the-london-premium-advantage"/>
    <w:p>
      <w:pPr>
        <w:pStyle w:val="Heading2"/>
      </w:pPr>
      <w:r>
        <w:t xml:space="preserve">Conclusion: The London Premium Advantage</w:t>
      </w:r>
    </w:p>
    <w:p>
      <w:pPr>
        <w:pStyle w:val="FirstParagraph"/>
      </w:pPr>
      <w:r>
        <w:t xml:space="preserve">This sales report confirms that successful legal practice in United Kingdom London requires moving beyond transactional service provision to strategic business partnership development. Our 15% revenue growth demonstrates that when lawyers integrate deep market intelligence with sophisticated sales methodology, firms can command premium pricing while achieving superior client retention (current rate: 89% in London). The data clearly shows that the most effective lawyer in the London market isn't merely providing legal advice – they're actively solving business challenges through precisely targeted sales conversations. As London continues to evolve as Europe's premier legal center, our sales strategy must remain equally dynamic. We project a 22% revenue increase for Q4 2023 through these recommended initiatives, positioning us for market leadership in the United Kingdom's most competitive legal landscape.</w:t>
      </w:r>
    </w:p>
    <w:p>
      <w:pPr>
        <w:pStyle w:val="BodyText"/>
      </w:pPr>
      <w:r>
        <w:rPr>
          <w:bCs/>
          <w:b/>
        </w:rPr>
        <w:t xml:space="preserve">Prepared by:</w:t>
      </w:r>
      <w:r>
        <w:t xml:space="preserve"> </w:t>
      </w:r>
      <w:r>
        <w:t xml:space="preserve">Sales Strategy Division | London Legal Market Analysis Team</w:t>
      </w:r>
      <w:r>
        <w:br/>
      </w:r>
      <w:r>
        <w:rPr>
          <w:bCs/>
          <w:b/>
        </w:rPr>
        <w:t xml:space="preserve">Date:</w:t>
      </w:r>
      <w:r>
        <w:t xml:space="preserve"> </w:t>
      </w:r>
      <w:r>
        <w:t xml:space="preserve">October 15, 2023</w:t>
      </w:r>
      <w:r>
        <w:br/>
      </w:r>
      <w:r>
        <w:rPr>
          <w:bCs/>
          <w:b/>
        </w:rPr>
        <w:t xml:space="preserve">Confidentiality Level:</w:t>
      </w:r>
      <w:r>
        <w:t xml:space="preserve"> </w:t>
      </w:r>
      <w:r>
        <w:t xml:space="preserve">Internal Use Only – United Kingdom London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Performance in United Kingdom London</dc:title>
  <dc:creator/>
  <dc:language>en</dc:language>
  <cp:keywords/>
  <dcterms:created xsi:type="dcterms:W3CDTF">2026-07-24T10:01:21Z</dcterms:created>
  <dcterms:modified xsi:type="dcterms:W3CDTF">2026-07-24T10:01:21Z</dcterms:modified>
</cp:coreProperties>
</file>

<file path=docProps/custom.xml><?xml version="1.0" encoding="utf-8"?>
<Properties xmlns="http://schemas.openxmlformats.org/officeDocument/2006/custom-properties" xmlns:vt="http://schemas.openxmlformats.org/officeDocument/2006/docPropsVTypes"/>
</file>