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X9cb166c1b338172175985374edd25cfc922a06d"/>
    <w:p>
      <w:pPr>
        <w:pStyle w:val="Heading1"/>
      </w:pPr>
      <w:r>
        <w:t xml:space="preserve">Sales Report: Comprehensive Analysis of Legal Service Performance in United States Houston</w:t>
      </w:r>
    </w:p>
    <w:p>
      <w:pPr>
        <w:pStyle w:val="FirstParagraph"/>
      </w:pPr>
      <w:r>
        <w:rPr>
          <w:bCs/>
          <w:b/>
        </w:rPr>
        <w:t xml:space="preserve">Prepared for:</w:t>
      </w:r>
      <w:r>
        <w:t xml:space="preserve"> </w:t>
      </w:r>
      <w:r>
        <w:t xml:space="preserve">Executive Leadership &amp; Partners at Houston Legal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legal practice across United States Houston during Q3 2023. As the premier law firm serving Houston's complex legal landscape, we achieved a remarkable 18% year-over-year revenue growth, reaching $4.7 million in billable hours and new client acquisitions. This success is attributed to strategic expansion of our litigation practice and targeted client acquisition initiatives led by our dedicated lawyer team. The Houston market demonstrated unprecedented demand for specialized legal representation following recent regulatory changes across Texas industries, positioning us as the preferred counsel for major corporate entities and high-net-worth individuals in United States Houston.</w:t>
      </w:r>
    </w:p>
    <w:bookmarkEnd w:id="20"/>
    <w:bookmarkStart w:id="23" w:name="ii.-key-performance-metrics"/>
    <w:p>
      <w:pPr>
        <w:pStyle w:val="Heading2"/>
      </w:pPr>
      <w:r>
        <w:t xml:space="preserve">II. Key Performance Metrics</w:t>
      </w:r>
    </w:p>
    <w:bookmarkStart w:id="21" w:name="a.-revenue-generation-by-practice-area"/>
    <w:p>
      <w:pPr>
        <w:pStyle w:val="Heading3"/>
      </w:pPr>
      <w:r>
        <w:t xml:space="preserve">A. Revenue Generation by Practice Area</w:t>
      </w:r>
    </w:p>
    <w:p>
      <w:pPr>
        <w:pStyle w:val="FirstParagraph"/>
      </w:pPr>
      <w:r>
        <w:t xml:space="preserve">Practice Area</w:t>
      </w:r>
    </w:p>
    <w:p>
      <w:pPr>
        <w:pStyle w:val="BodyText"/>
      </w:pPr>
      <w:r>
        <w:t xml:space="preserve">Revenue (Q3)</w:t>
      </w:r>
    </w:p>
    <w:p>
      <w:pPr>
        <w:pStyle w:val="BodyText"/>
      </w:pPr>
      <w:r>
        <w:t xml:space="preserve">YoY Change</w:t>
      </w:r>
    </w:p>
    <w:p>
      <w:pPr>
        <w:pStyle w:val="BodyText"/>
      </w:pPr>
      <w:r>
        <w:t xml:space="preserve">% of Total Revenue</w:t>
      </w:r>
    </w:p>
    <w:p>
      <w:pPr>
        <w:pStyle w:val="BodyText"/>
      </w:pPr>
      <w:r>
        <w:t xml:space="preserve">Civil Litigation</w:t>
      </w:r>
    </w:p>
    <w:p>
      <w:pPr>
        <w:pStyle w:val="BodyText"/>
      </w:pPr>
      <w:r>
        <w:t xml:space="preserve">$1,985,000</w:t>
      </w:r>
    </w:p>
    <w:p>
      <w:pPr>
        <w:pStyle w:val="BodyText"/>
      </w:pPr>
      <w:r>
        <w:t xml:space="preserve">+22%</w:t>
      </w:r>
    </w:p>
    <w:p>
      <w:pPr>
        <w:pStyle w:val="BodyText"/>
      </w:pPr>
      <w:r>
        <w:t xml:space="preserve">42.3%</w:t>
      </w:r>
    </w:p>
    <w:p>
      <w:pPr>
        <w:pStyle w:val="BodyText"/>
      </w:pPr>
      <w:r>
        <w:t xml:space="preserve">Corporate Law</w:t>
      </w:r>
    </w:p>
    <w:p>
      <w:pPr>
        <w:pStyle w:val="BodyText"/>
      </w:pPr>
      <w:r>
        <w:t xml:space="preserve">$1,367,500</w:t>
      </w:r>
    </w:p>
    <w:p>
      <w:pPr>
        <w:pStyle w:val="BodyText"/>
      </w:pPr>
      <w:r>
        <w:t xml:space="preserve">Total Revenue</w:t>
      </w:r>
    </w:p>
    <w:p>
      <w:pPr>
        <w:pStyle w:val="BodyText"/>
      </w:pPr>
      <w:r>
        <w:t xml:space="preserve">$4,718,500</w:t>
      </w:r>
    </w:p>
    <w:p>
      <w:pPr>
        <w:pStyle w:val="BodyText"/>
      </w:pPr>
      <w:r>
        <w:t xml:space="preserve">+18%</w:t>
      </w:r>
    </w:p>
    <w:p>
      <w:pPr>
        <w:pStyle w:val="BodyText"/>
      </w:pPr>
      <w:r>
        <w:t xml:space="preserve">100%</w:t>
      </w:r>
    </w:p>
    <w:p>
      <w:pPr>
        <w:pStyle w:val="BodyText"/>
      </w:pPr>
      <w:r>
        <w:t xml:space="preserve">The Civil Litigation practice generated the highest revenue contribution (42.3%) due to increased commercial disputes in Houston's energy sector and healthcare industry. Notably, our lead lawyer, Sarah Jennings, secured a landmark $12M settlement for a major Houston-based energy client—a transaction that significantly boosted Q3 results.</w:t>
      </w:r>
    </w:p>
    <w:bookmarkEnd w:id="21"/>
    <w:bookmarkStart w:id="22" w:name="b.-client-acquisition-retention"/>
    <w:p>
      <w:pPr>
        <w:pStyle w:val="Heading3"/>
      </w:pPr>
      <w:r>
        <w:t xml:space="preserve">B. Client Acquisition &amp; Retention</w:t>
      </w:r>
    </w:p>
    <w:p>
      <w:pPr>
        <w:numPr>
          <w:ilvl w:val="0"/>
          <w:numId w:val="1001"/>
        </w:numPr>
        <w:pStyle w:val="Compact"/>
      </w:pPr>
      <w:r>
        <w:rPr>
          <w:bCs/>
          <w:b/>
        </w:rPr>
        <w:t xml:space="preserve">New Clients:</w:t>
      </w:r>
      <w:r>
        <w:t xml:space="preserve"> </w:t>
      </w:r>
      <w:r>
        <w:t xml:space="preserve">47 new high-value clients (28% increase from Q2), including three Fortune 500 companies relocating headquarters to United States Houston</w:t>
      </w:r>
    </w:p>
    <w:p>
      <w:pPr>
        <w:numPr>
          <w:ilvl w:val="0"/>
          <w:numId w:val="1001"/>
        </w:numPr>
        <w:pStyle w:val="Compact"/>
      </w:pPr>
      <w:r>
        <w:rPr>
          <w:bCs/>
          <w:b/>
        </w:rPr>
        <w:t xml:space="preserve">Client Retention Rate:</w:t>
      </w:r>
      <w:r>
        <w:t xml:space="preserve"> </w:t>
      </w:r>
      <w:r>
        <w:t xml:space="preserve">93% (exceeding industry benchmark of 85%)</w:t>
      </w:r>
    </w:p>
    <w:p>
      <w:pPr>
        <w:numPr>
          <w:ilvl w:val="0"/>
          <w:numId w:val="1001"/>
        </w:numPr>
        <w:pStyle w:val="Compact"/>
      </w:pPr>
      <w:r>
        <w:rPr>
          <w:bCs/>
          <w:b/>
        </w:rPr>
        <w:t xml:space="preserve">Referral Rate:</w:t>
      </w:r>
      <w:r>
        <w:t xml:space="preserve"> </w:t>
      </w:r>
      <w:r>
        <w:t xml:space="preserve">37% of new business generated through attorney referrals within the Houston legal community</w:t>
      </w:r>
    </w:p>
    <w:bookmarkEnd w:id="22"/>
    <w:bookmarkEnd w:id="23"/>
    <w:bookmarkStart w:id="24" w:name="Xfdc311e83e4673ed08cb5b33488d58ccfcc6530"/>
    <w:p>
      <w:pPr>
        <w:pStyle w:val="Heading2"/>
      </w:pPr>
      <w:r>
        <w:t xml:space="preserve">III. Market Analysis: United States Houston Legal Landscape</w:t>
      </w:r>
    </w:p>
    <w:p>
      <w:pPr>
        <w:pStyle w:val="FirstParagraph"/>
      </w:pPr>
      <w:r>
        <w:t xml:space="preserve">The United States Houston market has evolved into a critical legal hub following Texas' 2023 regulatory overhaul in environmental compliance and commercial real estate. This created unprecedented demand for specialized lawyer services across multiple sectors:</w:t>
      </w:r>
    </w:p>
    <w:p>
      <w:pPr>
        <w:numPr>
          <w:ilvl w:val="0"/>
          <w:numId w:val="1002"/>
        </w:numPr>
        <w:pStyle w:val="Compact"/>
      </w:pPr>
      <w:r>
        <w:rPr>
          <w:bCs/>
          <w:b/>
        </w:rPr>
        <w:t xml:space="preserve">Energy Sector Transformation:</w:t>
      </w:r>
      <w:r>
        <w:t xml:space="preserve"> </w:t>
      </w:r>
      <w:r>
        <w:t xml:space="preserve">Houston's oil &amp; gas industry required legal counsel on ESG compliance, resulting in a 41% surge in related billing hours</w:t>
      </w:r>
    </w:p>
    <w:p>
      <w:pPr>
        <w:numPr>
          <w:ilvl w:val="0"/>
          <w:numId w:val="1002"/>
        </w:numPr>
        <w:pStyle w:val="Compact"/>
      </w:pPr>
      <w:r>
        <w:rPr>
          <w:bCs/>
          <w:b/>
        </w:rPr>
        <w:t xml:space="preserve">Real Estate Boom:</w:t>
      </w:r>
      <w:r>
        <w:t xml:space="preserve"> </w:t>
      </w:r>
      <w:r>
        <w:t xml:space="preserve">Record commercial development projects (including the new Downtown Houston Transit Hub) generated significant litigation opportunities</w:t>
      </w:r>
    </w:p>
    <w:p>
      <w:pPr>
        <w:numPr>
          <w:ilvl w:val="0"/>
          <w:numId w:val="1002"/>
        </w:numPr>
        <w:pStyle w:val="Compact"/>
      </w:pPr>
      <w:r>
        <w:rPr>
          <w:bCs/>
          <w:b/>
        </w:rPr>
        <w:t xml:space="preserve">Cross-Border Transactions:</w:t>
      </w:r>
      <w:r>
        <w:t xml:space="preserve"> </w:t>
      </w:r>
      <w:r>
        <w:t xml:space="preserve">Increased international business activity through Port of Houston necessitated sophisticated corporate law services</w:t>
      </w:r>
    </w:p>
    <w:p>
      <w:pPr>
        <w:pStyle w:val="FirstParagraph"/>
      </w:pPr>
      <w:r>
        <w:t xml:space="preserve">This market dynamic presented unique opportunities for our lawyer team, particularly in navigating complex intersections between Texas state law and federal regulations—a capability that positioned us as the preferred counsel for multinational firms operating in United States Houston.</w:t>
      </w:r>
    </w:p>
    <w:bookmarkEnd w:id="24"/>
    <w:bookmarkStart w:id="27" w:name="X2ae07f1f60a15c0432cf2f58e0afd456b817e89"/>
    <w:p>
      <w:pPr>
        <w:pStyle w:val="Heading2"/>
      </w:pPr>
      <w:r>
        <w:t xml:space="preserve">IV. Strategic Initiatives Driving Sales Growth</w:t>
      </w:r>
    </w:p>
    <w:bookmarkStart w:id="25" w:name="a.-targeted-lawyer-development-program"/>
    <w:p>
      <w:pPr>
        <w:pStyle w:val="Heading3"/>
      </w:pPr>
      <w:r>
        <w:t xml:space="preserve">A. Targeted Lawyer Development Program</w:t>
      </w:r>
    </w:p>
    <w:p>
      <w:pPr>
        <w:pStyle w:val="FirstParagraph"/>
      </w:pPr>
      <w:r>
        <w:t xml:space="preserve">Our Q3 investment in specialized lawyer training directly fueled revenue growth:</w:t>
      </w:r>
    </w:p>
    <w:p>
      <w:pPr>
        <w:numPr>
          <w:ilvl w:val="0"/>
          <w:numId w:val="1003"/>
        </w:numPr>
        <w:pStyle w:val="Compact"/>
      </w:pPr>
      <w:r>
        <w:t xml:space="preserve">15-hour certification program on Texas Environmental Compliance Law (completed by 80% of litigation lawyers)</w:t>
      </w:r>
    </w:p>
    <w:p>
      <w:pPr>
        <w:numPr>
          <w:ilvl w:val="0"/>
          <w:numId w:val="1003"/>
        </w:numPr>
        <w:pStyle w:val="Compact"/>
      </w:pPr>
      <w:r>
        <w:t xml:space="preserve">Client relationship management workshops resulting in 22% higher client satisfaction scores</w:t>
      </w:r>
    </w:p>
    <w:p>
      <w:pPr>
        <w:numPr>
          <w:ilvl w:val="0"/>
          <w:numId w:val="1003"/>
        </w:numPr>
        <w:pStyle w:val="Compact"/>
      </w:pPr>
      <w:r>
        <w:t xml:space="preserve">Dedicated "Houston Market Specialist" role for each practice area, increasing cross-selling by 31%</w:t>
      </w:r>
    </w:p>
    <w:bookmarkEnd w:id="25"/>
    <w:bookmarkStart w:id="26" w:name="b.-technology-driven-client-acquisition"/>
    <w:p>
      <w:pPr>
        <w:pStyle w:val="Heading3"/>
      </w:pPr>
      <w:r>
        <w:t xml:space="preserve">B. Technology-Driven Client Acquisition</w:t>
      </w:r>
    </w:p>
    <w:p>
      <w:pPr>
        <w:pStyle w:val="FirstParagraph"/>
      </w:pPr>
      <w:r>
        <w:t xml:space="preserve">Implementing AI-powered legal analytics tools allowed our lawyer team to:</w:t>
      </w:r>
    </w:p>
    <w:p>
      <w:pPr>
        <w:numPr>
          <w:ilvl w:val="0"/>
          <w:numId w:val="1004"/>
        </w:numPr>
        <w:pStyle w:val="Compact"/>
      </w:pPr>
      <w:r>
        <w:t xml:space="preserve">Identify emerging litigation risks for Houston-based clients with 95% accuracy</w:t>
      </w:r>
    </w:p>
    <w:p>
      <w:pPr>
        <w:numPr>
          <w:ilvl w:val="0"/>
          <w:numId w:val="1004"/>
        </w:numPr>
        <w:pStyle w:val="Compact"/>
      </w:pPr>
      <w:r>
        <w:t xml:space="preserve">Predict high-value referral opportunities using market trend algorithms</w:t>
      </w:r>
    </w:p>
    <w:p>
      <w:pPr>
        <w:numPr>
          <w:ilvl w:val="0"/>
          <w:numId w:val="1004"/>
        </w:numPr>
        <w:pStyle w:val="Compact"/>
      </w:pPr>
      <w:r>
        <w:t xml:space="preserve">Reduce client onboarding time by 38%, improving conversion rates from inquiry to engagement</w:t>
      </w:r>
    </w:p>
    <w:bookmarkEnd w:id="26"/>
    <w:bookmarkEnd w:id="27"/>
    <w:bookmarkStart w:id="28" w:name="Xcca87cfe4acc95489443989c75c67bffedb0fd8"/>
    <w:p>
      <w:pPr>
        <w:pStyle w:val="Heading2"/>
      </w:pPr>
      <w:r>
        <w:t xml:space="preserve">V. Challenges in United States Houston Market &amp; Mitigation Strategies</w:t>
      </w:r>
    </w:p>
    <w:p>
      <w:pPr>
        <w:pStyle w:val="FirstParagraph"/>
      </w:pPr>
      <w:r>
        <w:t xml:space="preserve">Despite strong performance, our lawyer team faced unique challenges in the competitive United States Houston market:</w:t>
      </w:r>
    </w:p>
    <w:p>
      <w:pPr>
        <w:numPr>
          <w:ilvl w:val="0"/>
          <w:numId w:val="1005"/>
        </w:numPr>
        <w:pStyle w:val="Compact"/>
      </w:pPr>
      <w:r>
        <w:rPr>
          <w:bCs/>
          <w:b/>
        </w:rPr>
        <w:t xml:space="preserve">Competitive Pressure:</w:t>
      </w:r>
      <w:r>
        <w:t xml:space="preserve"> </w:t>
      </w:r>
      <w:r>
        <w:t xml:space="preserve">14 new law firms entered Houston's corporate practice segment this year. *Mitigation:* Implemented our "Houston Legal Excellence" premium service package with dedicated account managers</w:t>
      </w:r>
    </w:p>
    <w:p>
      <w:pPr>
        <w:numPr>
          <w:ilvl w:val="0"/>
          <w:numId w:val="1005"/>
        </w:numPr>
        <w:pStyle w:val="Compact"/>
      </w:pPr>
      <w:r>
        <w:rPr>
          <w:bCs/>
          <w:b/>
        </w:rPr>
        <w:t xml:space="preserve">Talent Retention:</w:t>
      </w:r>
      <w:r>
        <w:t xml:space="preserve"> </w:t>
      </w:r>
      <w:r>
        <w:t xml:space="preserve">20% attrition rate among mid-level lawyers in Q2. *Mitigation:* Launched "Future Leader" mentorship program pairing junior lawyers with senior counsel from established United States Houston firms</w:t>
      </w:r>
    </w:p>
    <w:p>
      <w:pPr>
        <w:numPr>
          <w:ilvl w:val="0"/>
          <w:numId w:val="1005"/>
        </w:numPr>
        <w:pStyle w:val="Compact"/>
      </w:pPr>
      <w:r>
        <w:rPr>
          <w:bCs/>
          <w:b/>
        </w:rPr>
        <w:t xml:space="preserve">Regulatory Complexity:</w:t>
      </w:r>
      <w:r>
        <w:t xml:space="preserve"> </w:t>
      </w:r>
      <w:r>
        <w:t xml:space="preserve">Texas Supreme Court's new Rule 57 requiring mandatory mediation in commercial cases. *Mitigation:* Developed internal training module on Texas-specific dispute resolution protocols adopted by 100% of our lawyer team</w:t>
      </w:r>
    </w:p>
    <w:bookmarkEnd w:id="28"/>
    <w:bookmarkStart w:id="29" w:name="X3530834dd6665b693e93a0daac837db47948b9d"/>
    <w:p>
      <w:pPr>
        <w:pStyle w:val="Heading2"/>
      </w:pPr>
      <w:r>
        <w:t xml:space="preserve">VI. Financial Performance &amp; Profitability Analysis</w:t>
      </w:r>
    </w:p>
    <w:p>
      <w:pPr>
        <w:pStyle w:val="FirstParagraph"/>
      </w:pPr>
      <w:r>
        <w:t xml:space="preserve">Revenue growth translated into exceptional profitability metrics:</w:t>
      </w:r>
    </w:p>
    <w:p>
      <w:pPr>
        <w:pStyle w:val="BodyText"/>
      </w:pPr>
      <w:r>
        <w:t xml:space="preserve">Metrics</w:t>
      </w:r>
    </w:p>
    <w:p>
      <w:pPr>
        <w:pStyle w:val="BodyText"/>
      </w:pPr>
      <w:r>
        <w:t xml:space="preserve">Q3 2023</w:t>
      </w:r>
    </w:p>
    <w:p>
      <w:pPr>
        <w:pStyle w:val="BodyText"/>
      </w:pPr>
      <w:r>
        <w:t xml:space="preserve">Q3 2022</w:t>
      </w:r>
    </w:p>
    <w:p>
      <w:pPr>
        <w:pStyle w:val="BodyText"/>
      </w:pPr>
      <w:r>
        <w:t xml:space="preserve">Difference</w:t>
      </w:r>
    </w:p>
    <w:p>
      <w:pPr>
        <w:pStyle w:val="BodyText"/>
      </w:pPr>
      <w:r>
        <w:t xml:space="preserve">Gross Revenue</w:t>
      </w:r>
    </w:p>
    <w:p>
      <w:pPr>
        <w:pStyle w:val="BodyText"/>
      </w:pPr>
      <w:r>
        <w:t xml:space="preserve">$4,718,500</w:t>
      </w:r>
    </w:p>
    <w:p>
      <w:pPr>
        <w:pStyle w:val="BodyText"/>
      </w:pPr>
      <w:r>
        <w:t xml:space="preserve">$4,005,987</w:t>
      </w:r>
    </w:p>
    <w:p>
      <w:pPr>
        <w:pStyle w:val="BodyText"/>
      </w:pPr>
      <w:r>
        <w:t xml:space="preserve">+18%</w:t>
      </w:r>
    </w:p>
    <w:p>
      <w:pPr>
        <w:pStyle w:val="BodyText"/>
      </w:pPr>
      <w:r>
        <w:t xml:space="preserve">Operating Profit Margin</w:t>
      </w:r>
    </w:p>
    <w:p>
      <w:pPr>
        <w:pStyle w:val="BodyText"/>
      </w:pPr>
      <w:r>
        <w:t xml:space="preserve">&lt;</w:t>
      </w:r>
    </w:p>
    <w:p>
      <w:pPr>
        <w:pStyle w:val="BodyText"/>
      </w:pPr>
      <w:r>
        <w:t xml:space="preserve">32.7%</w:t>
      </w:r>
    </w:p>
    <w:p>
      <w:pPr>
        <w:pStyle w:val="BodyText"/>
      </w:pPr>
      <w:r>
        <w:t xml:space="preserve">29.1%</w:t>
      </w:r>
    </w:p>
    <w:p>
      <w:pPr>
        <w:pStyle w:val="BodyText"/>
      </w:pPr>
      <w:r>
        <w:t xml:space="preserve">+3.6 pts</w:t>
      </w:r>
    </w:p>
    <w:p>
      <w:pPr>
        <w:pStyle w:val="BodyText"/>
      </w:pPr>
      <w:r>
        <w:t xml:space="preserve">Average Billable Rate/Client</w:t>
      </w:r>
    </w:p>
    <w:p>
      <w:pPr>
        <w:pStyle w:val="BodyText"/>
      </w:pPr>
      <w:r>
        <w:t xml:space="preserve">$4,850</w:t>
      </w:r>
    </w:p>
    <w:p>
      <w:pPr>
        <w:pStyle w:val="BodyText"/>
      </w:pPr>
      <w:r>
        <w:t xml:space="preserve">$4,210</w:t>
      </w:r>
    </w:p>
    <w:p>
      <w:pPr>
        <w:pStyle w:val="BodyText"/>
      </w:pPr>
      <w:r>
        <w:t xml:space="preserve">+15.2%</w:t>
      </w:r>
    </w:p>
    <w:p>
      <w:pPr>
        <w:pStyle w:val="BodyText"/>
      </w:pPr>
      <w:r>
        <w:t xml:space="preserve">The 3.6% increase in operating margin directly resulted from our strategic pricing model for Houston-based corporate clients—offering value-based packages that increased client lifetime value by 24%.</w:t>
      </w:r>
    </w:p>
    <w:bookmarkEnd w:id="29"/>
    <w:bookmarkStart w:id="32" w:name="vii.-future-outlook-recommendations"/>
    <w:p>
      <w:pPr>
        <w:pStyle w:val="Heading2"/>
      </w:pPr>
      <w:r>
        <w:t xml:space="preserve">VII. Future Outlook &amp; Recommendations</w:t>
      </w:r>
    </w:p>
    <w:bookmarkStart w:id="30" w:name="a.-strategic-priorities-for-q4-2023"/>
    <w:p>
      <w:pPr>
        <w:pStyle w:val="Heading3"/>
      </w:pPr>
      <w:r>
        <w:t xml:space="preserve">A. Strategic Priorities for Q4 2023</w:t>
      </w:r>
    </w:p>
    <w:p>
      <w:pPr>
        <w:numPr>
          <w:ilvl w:val="0"/>
          <w:numId w:val="1006"/>
        </w:numPr>
        <w:pStyle w:val="Compact"/>
      </w:pPr>
      <w:r>
        <w:rPr>
          <w:bCs/>
          <w:b/>
        </w:rPr>
        <w:t xml:space="preserve">Expand Energy Sector Practice:</w:t>
      </w:r>
      <w:r>
        <w:t xml:space="preserve"> </w:t>
      </w:r>
      <w:r>
        <w:t xml:space="preserve">Allocate $500K to hire three additional environmental law specialists (addressing 78% of Houston client inquiries in this sector)</w:t>
      </w:r>
    </w:p>
    <w:p>
      <w:pPr>
        <w:numPr>
          <w:ilvl w:val="0"/>
          <w:numId w:val="1006"/>
        </w:numPr>
        <w:pStyle w:val="Compact"/>
      </w:pPr>
      <w:r>
        <w:rPr>
          <w:bCs/>
          <w:b/>
        </w:rPr>
        <w:t xml:space="preserve">Leverage Technology:</w:t>
      </w:r>
      <w:r>
        <w:t xml:space="preserve"> </w:t>
      </w:r>
      <w:r>
        <w:t xml:space="preserve">Implement blockchain-based contract management system for commercial clients in United States Houston, projected to reduce billing errors by 65%</w:t>
      </w:r>
    </w:p>
    <w:p>
      <w:pPr>
        <w:numPr>
          <w:ilvl w:val="0"/>
          <w:numId w:val="1006"/>
        </w:numPr>
        <w:pStyle w:val="Compact"/>
      </w:pPr>
      <w:r>
        <w:rPr>
          <w:bCs/>
          <w:b/>
        </w:rPr>
        <w:t xml:space="preserve">Community Engagement:</w:t>
      </w:r>
      <w:r>
        <w:t xml:space="preserve"> </w:t>
      </w:r>
      <w:r>
        <w:t xml:space="preserve">Launch "Houston Legal Access Initiative" providing pro bono services to 20+ nonprofit organizations in the city</w:t>
      </w:r>
    </w:p>
    <w:bookmarkEnd w:id="30"/>
    <w:bookmarkStart w:id="31" w:name="X8c590d8a631c8110f20cb991a770507789b2a48"/>
    <w:p>
      <w:pPr>
        <w:pStyle w:val="Heading3"/>
      </w:pPr>
      <w:r>
        <w:t xml:space="preserve">B. Critical Success Factors for Lawyer Team Performance</w:t>
      </w:r>
    </w:p>
    <w:p>
      <w:pPr>
        <w:pStyle w:val="FirstParagraph"/>
      </w:pPr>
      <w:r>
        <w:t xml:space="preserve">To maintain our market leadership position, we recommend:</w:t>
      </w:r>
    </w:p>
    <w:p>
      <w:pPr>
        <w:numPr>
          <w:ilvl w:val="0"/>
          <w:numId w:val="1007"/>
        </w:numPr>
        <w:pStyle w:val="Compact"/>
      </w:pPr>
      <w:r>
        <w:t xml:space="preserve">Continued specialization training aligned with Houston's evolving legal needs (e.g., AI regulation, climate litigation)</w:t>
      </w:r>
    </w:p>
    <w:p>
      <w:pPr>
        <w:numPr>
          <w:ilvl w:val="0"/>
          <w:numId w:val="1007"/>
        </w:numPr>
        <w:pStyle w:val="Compact"/>
      </w:pPr>
      <w:r>
        <w:t xml:space="preserve">Establishing formal partnership agreements with key Houston business associations (Houston Chamber of Commerce, Texas Bar Association)</w:t>
      </w:r>
    </w:p>
    <w:p>
      <w:pPr>
        <w:numPr>
          <w:ilvl w:val="0"/>
          <w:numId w:val="1007"/>
        </w:numPr>
        <w:pStyle w:val="Compact"/>
      </w:pPr>
      <w:r>
        <w:t xml:space="preserve">Maintaining our "client-first" philosophy that differentiates our lawyer team from competitors in United States Houston</w:t>
      </w:r>
    </w:p>
    <w:bookmarkEnd w:id="31"/>
    <w:bookmarkEnd w:id="32"/>
    <w:bookmarkStart w:id="33" w:name="viii.-conclusion"/>
    <w:p>
      <w:pPr>
        <w:pStyle w:val="Heading2"/>
      </w:pPr>
      <w:r>
        <w:t xml:space="preserve">VIII. Conclusion</w:t>
      </w:r>
    </w:p>
    <w:p>
      <w:pPr>
        <w:pStyle w:val="FirstParagraph"/>
      </w:pPr>
      <w:r>
        <w:t xml:space="preserve">This Sales Report demonstrates unequivocally that Houston's legal market continues to offer exceptional growth opportunities for strategic, client-focused law firms. Our lawyer team's ability to navigate the complexities of United States Houston's regulatory environment while delivering superior service has positioned us as a revenue leader in the region. The 18% revenue growth and 32.7% operating margin validate our Q3 strategy, and we project continued expansion through targeted investments in energy sector expertise and technology-enabled client service delivery.</w:t>
      </w:r>
    </w:p>
    <w:p>
      <w:pPr>
        <w:pStyle w:val="BodyText"/>
      </w:pPr>
      <w:r>
        <w:t xml:space="preserve">As Houston evolves into an even more significant legal hub within the United States, our commitment to exceptional lawyer performance—rooted in deep local market knowledge and innovative service models—will remain the cornerstone of our success. We recommend maintaining our current strategic course with increased focus on cross-industry solutions that address Houston's unique business challenges.</w:t>
      </w:r>
    </w:p>
    <w:p>
      <w:pPr>
        <w:pStyle w:val="BodyText"/>
      </w:pPr>
      <w:r>
        <w:rPr>
          <w:bCs/>
          <w:b/>
        </w:rPr>
        <w:t xml:space="preserve">Prepared by:</w:t>
      </w:r>
      <w:r>
        <w:t xml:space="preserve"> </w:t>
      </w:r>
      <w:r>
        <w:t xml:space="preserve">Mark Reynolds, Chief Revenue Officer</w:t>
      </w:r>
      <w:r>
        <w:br/>
      </w:r>
      <w:r>
        <w:rPr>
          <w:bCs/>
          <w:b/>
        </w:rPr>
        <w:t xml:space="preserve">Approved by:</w:t>
      </w:r>
      <w:r>
        <w:t xml:space="preserve"> </w:t>
      </w:r>
      <w:r>
        <w:t xml:space="preserve">Jennifer Chen, Managing Partner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United States Houston</dc:title>
  <dc:creator/>
  <dc:language>en</dc:language>
  <cp:keywords/>
  <dcterms:created xsi:type="dcterms:W3CDTF">2025-12-12T03:41:08Z</dcterms:created>
  <dcterms:modified xsi:type="dcterms:W3CDTF">2025-12-12T03:41:08Z</dcterms:modified>
</cp:coreProperties>
</file>

<file path=docProps/custom.xml><?xml version="1.0" encoding="utf-8"?>
<Properties xmlns="http://schemas.openxmlformats.org/officeDocument/2006/custom-properties" xmlns:vt="http://schemas.openxmlformats.org/officeDocument/2006/docPropsVTypes"/>
</file>