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miami-legal-practice-sales-report"/>
    <w:p>
      <w:pPr>
        <w:pStyle w:val="Heading1"/>
      </w:pPr>
      <w:r>
        <w:t xml:space="preserve">Miami Legal Practice Sales Report</w:t>
      </w:r>
    </w:p>
    <w:bookmarkStart w:id="20" w:name="X3c4f0ba8d80375be29cd7d53cb7c44a01fd6e3f"/>
    <w:p>
      <w:pPr>
        <w:pStyle w:val="Heading2"/>
      </w:pPr>
      <w:r>
        <w:t xml:space="preserve">Q3 2023 Performance Analysis for Law Firm in United States Miami</w:t>
      </w:r>
    </w:p>
    <w:p>
      <w:pPr>
        <w:pStyle w:val="FirstParagraph"/>
      </w:pPr>
      <w:r>
        <w:t xml:space="preserve">Prepared for the Executive Leadership Team | Date: October 15, 2023</w:t>
      </w:r>
    </w:p>
    <w:p>
      <w:r>
        <w:pict>
          <v:rect style="width:0;height:1.5pt" o:hralign="center" o:hrstd="t" o:hr="t"/>
        </w:pict>
      </w:r>
    </w:p>
    <w:bookmarkEnd w:id="20"/>
    <w:bookmarkStart w:id="21" w:name="executive-summary"/>
    <w:p>
      <w:pPr>
        <w:pStyle w:val="Heading2"/>
      </w:pPr>
      <w:r>
        <w:t xml:space="preserve">Executive Summary</w:t>
      </w:r>
    </w:p>
    <w:p>
      <w:pPr>
        <w:pStyle w:val="FirstParagraph"/>
      </w:pPr>
      <w:r>
        <w:t xml:space="preserve">This comprehensive Sales Report details the performance metrics of legal services across Miami-Dade County, Florida, within the United States market. As a premier law firm serving the vibrant business ecosystem of United States Miami, our Q3 2023 sales results demonstrate strategic growth in high-demand practice areas while navigating unique regional challenges. The report confirms that our specialized approach to legal representation has solidified Miami's position as a critical revenue driver for the firm. This document serves as both a performance snapshot and strategic roadmap for the coming quarter, emphasizing how our Lawyer expertise directly translates to market leadership in United States Miami.</w:t>
      </w:r>
    </w:p>
    <w:bookmarkEnd w:id="21"/>
    <w:bookmarkStart w:id="22" w:name="key-sales-performance-highlights"/>
    <w:p>
      <w:pPr>
        <w:pStyle w:val="Heading2"/>
      </w:pPr>
      <w:r>
        <w:t xml:space="preserve">Key Sales Performance Highlights</w:t>
      </w:r>
    </w:p>
    <w:p>
      <w:pPr>
        <w:pStyle w:val="FirstParagraph"/>
      </w:pPr>
      <w:r>
        <w:t xml:space="preserve">Q3 2023 marked a record-breaking quarter for our firm's sales pipeline in United States Miami, with total billable revenue reaching $4.8 million—a 17.5% increase from Q2 and 29% above the same period last year. This growth reflects strong demand for legal expertise across Miami's diverse economic landscape, where a</w:t>
      </w:r>
      <w:r>
        <w:t xml:space="preserve"> </w:t>
      </w:r>
      <w:r>
        <w:rPr>
          <w:iCs/>
          <w:i/>
        </w:rPr>
        <w:t xml:space="preserve">Lawyer</w:t>
      </w:r>
      <w:r>
        <w:t xml:space="preserve"> </w:t>
      </w:r>
      <w:r>
        <w:t xml:space="preserve">who understands local regulations and business culture is indispensable.</w:t>
      </w:r>
    </w:p>
    <w:p>
      <w:pPr>
        <w:pStyle w:val="BodyText"/>
      </w:pPr>
      <w:r>
        <w:t xml:space="preserve">Practice Area</w:t>
      </w:r>
    </w:p>
    <w:p>
      <w:pPr>
        <w:pStyle w:val="BodyText"/>
      </w:pPr>
      <w:r>
        <w:t xml:space="preserve">Revenue (Q3)</w:t>
      </w:r>
    </w:p>
    <w:p>
      <w:pPr>
        <w:pStyle w:val="BodyText"/>
      </w:pPr>
      <w:r>
        <w:t xml:space="preserve">% of Total Revenue</w:t>
      </w:r>
    </w:p>
    <w:p>
      <w:pPr>
        <w:pStyle w:val="BodyText"/>
      </w:pPr>
      <w:r>
        <w:t xml:space="preserve">Growth vs. Q2</w:t>
      </w:r>
    </w:p>
    <w:p>
      <w:pPr>
        <w:pStyle w:val="BodyText"/>
      </w:pPr>
      <w:r>
        <w:t xml:space="preserve">Commercial Litigation</w:t>
      </w:r>
    </w:p>
    <w:p>
      <w:pPr>
        <w:pStyle w:val="BodyText"/>
      </w:pPr>
      <w:r>
        <w:t xml:space="preserve">$1,850,000</w:t>
      </w:r>
    </w:p>
    <w:p>
      <w:pPr>
        <w:pStyle w:val="BodyText"/>
      </w:pPr>
      <w:r>
        <w:t xml:space="preserve">38.5%</w:t>
      </w:r>
    </w:p>
    <w:p>
      <w:pPr>
        <w:pStyle w:val="BodyText"/>
      </w:pPr>
      <w:r>
        <w:t xml:space="preserve">22.1%</w:t>
      </w:r>
    </w:p>
    <w:p>
      <w:pPr>
        <w:pStyle w:val="BodyText"/>
      </w:pPr>
      <w:r>
        <w:t xml:space="preserve">Immigration Law</w:t>
      </w:r>
    </w:p>
    <w:p>
      <w:pPr>
        <w:pStyle w:val="BodyText"/>
      </w:pPr>
      <w:r>
        <w:t xml:space="preserve">$1,200,000</w:t>
      </w:r>
    </w:p>
    <w:p>
      <w:pPr>
        <w:pStyle w:val="BodyText"/>
      </w:pPr>
      <w:r>
        <w:t xml:space="preserve">25.0%</w:t>
      </w:r>
    </w:p>
    <w:p>
      <w:pPr>
        <w:pStyle w:val="BodyText"/>
      </w:pPr>
      <w:r>
        <w:t xml:space="preserve">18.7%</w:t>
      </w:r>
    </w:p>
    <w:p>
      <w:pPr>
        <w:pStyle w:val="BodyText"/>
      </w:pPr>
      <w:r>
        <w:t xml:space="preserve">Criminal Defense</w:t>
      </w:r>
    </w:p>
    <w:p>
      <w:pPr>
        <w:pStyle w:val="BodyText"/>
      </w:pPr>
      <w:r>
        <w:t xml:space="preserve">$950,000</w:t>
      </w:r>
    </w:p>
    <w:p>
      <w:pPr>
        <w:pStyle w:val="BodyText"/>
      </w:pPr>
      <w:r>
        <w:t xml:space="preserve">19.8%</w:t>
      </w:r>
    </w:p>
    <w:p>
      <w:pPr>
        <w:pStyle w:val="BodyText"/>
      </w:pPr>
      <w:r>
        <w:t xml:space="preserve">12.3%</w:t>
      </w:r>
    </w:p>
    <w:p>
      <w:pPr>
        <w:pStyle w:val="BodyText"/>
      </w:pPr>
      <w:r>
        <w:t xml:space="preserve">Corporate Compliance</w:t>
      </w:r>
    </w:p>
    <w:p>
      <w:pPr>
        <w:pStyle w:val="BodyText"/>
      </w:pPr>
      <w:r>
        <w:t xml:space="preserve">$650,000</w:t>
      </w:r>
    </w:p>
    <w:p>
      <w:pPr>
        <w:pStyle w:val="BodyText"/>
      </w:pPr>
      <w:r>
        <w:t xml:space="preserve">13.5%</w:t>
      </w:r>
    </w:p>
    <w:p>
      <w:pPr>
        <w:pStyle w:val="BodyText"/>
      </w:pPr>
      <w:r>
        <w:t xml:space="preserve">31.4%</w:t>
      </w:r>
    </w:p>
    <w:p>
      <w:pPr>
        <w:pStyle w:val="BodyText"/>
      </w:pPr>
      <w:r>
        <w:t xml:space="preserve">Total</w:t>
      </w:r>
    </w:p>
    <w:p>
      <w:pPr>
        <w:pStyle w:val="BodyText"/>
      </w:pPr>
      <w:r>
        <w:t xml:space="preserve">$4,800,000</w:t>
      </w:r>
    </w:p>
    <w:p>
      <w:pPr>
        <w:pStyle w:val="BodyText"/>
      </w:pPr>
      <w:r>
        <w:t xml:space="preserve">100%</w:t>
      </w:r>
    </w:p>
    <w:p>
      <w:pPr>
        <w:pStyle w:val="BodyText"/>
      </w:pPr>
      <w:r>
        <w:t xml:space="preserve">17.5% Avg.</w:t>
      </w:r>
    </w:p>
    <w:bookmarkEnd w:id="22"/>
    <w:bookmarkStart w:id="23" w:name="miami-specific-market-insights"/>
    <w:p>
      <w:pPr>
        <w:pStyle w:val="Heading2"/>
      </w:pPr>
      <w:r>
        <w:t xml:space="preserve">Miami-Specific Market Insights</w:t>
      </w:r>
    </w:p>
    <w:p>
      <w:pPr>
        <w:pStyle w:val="FirstParagraph"/>
      </w:pPr>
      <w:r>
        <w:t xml:space="preserve">The success of our Sales Report in United States Miami stems from hyper-localized legal strategy. Miami's unique position as a gateway to Latin America and the Caribbean has driven demand for specialized immigration services (up 41% YoY), while commercial litigation surged due to increased foreign investment in South Florida real estate. A key differentiator is our firm's ability to deploy a</w:t>
      </w:r>
      <w:r>
        <w:t xml:space="preserve"> </w:t>
      </w:r>
      <w:r>
        <w:rPr>
          <w:iCs/>
          <w:i/>
        </w:rPr>
        <w:t xml:space="preserve">Lawyer</w:t>
      </w:r>
      <w:r>
        <w:t xml:space="preserve"> </w:t>
      </w:r>
      <w:r>
        <w:t xml:space="preserve">who speaks Spanish fluently and understands cultural nuances—critical for closing high-value cases with Latin American clients, which now represent 68% of new engagements in Miami.</w:t>
      </w:r>
    </w:p>
    <w:p>
      <w:pPr>
        <w:pStyle w:val="BodyText"/>
      </w:pPr>
      <w:r>
        <w:t xml:space="preserve">The United States Miami market also presents distinct challenges. Rising competition from national firms has intensified pricing pressure, but our localized approach allows us to command premium rates (averaging 15% above regional benchmarks). Our Sales Report identifies that clients in United States Miami prioritize lawyers who: (1) have local court experience, (2) understand South Florida business customs, and (3) demonstrate cultural competence. This insight directly informed our recent hire of three Spanish-English bilingual attorneys specializing in Caribbean client acquisition.</w:t>
      </w:r>
    </w:p>
    <w:bookmarkEnd w:id="23"/>
    <w:bookmarkStart w:id="24" w:name="client-acquisition-retention-metrics"/>
    <w:p>
      <w:pPr>
        <w:pStyle w:val="Heading2"/>
      </w:pPr>
      <w:r>
        <w:t xml:space="preserve">Client Acquisition &amp; Retention Metrics</w:t>
      </w:r>
    </w:p>
    <w:p>
      <w:pPr>
        <w:pStyle w:val="FirstParagraph"/>
      </w:pPr>
      <w:r>
        <w:t xml:space="preserve">Our client acquisition strategy in United States Miami has proven highly effective, with 47% of new business coming through referrals from existing clients—a testament to the trust our</w:t>
      </w:r>
      <w:r>
        <w:t xml:space="preserve"> </w:t>
      </w:r>
      <w:r>
        <w:rPr>
          <w:iCs/>
          <w:i/>
        </w:rPr>
        <w:t xml:space="preserve">Lawyer</w:t>
      </w:r>
      <w:r>
        <w:t xml:space="preserve">s cultivate. The average client retention rate across practice areas reached 89%, significantly above the national legal industry benchmark of 75%. This success is attributed to our "Miami Relationship Protocol," where every Lawyer dedicates quarterly in-person meetings with key clients at venues like Brickell City Centre or South Beach events.</w:t>
      </w:r>
    </w:p>
    <w:p>
      <w:pPr>
        <w:pStyle w:val="BodyText"/>
      </w:pPr>
      <w:r>
        <w:t xml:space="preserve">Notably, our corporate compliance division saw a 41% increase in repeat business from Miami-based tech startups, driven by our proactive approach to Florida's evolving data privacy laws. This demonstrates how a Lawyer's ability to anticipate regulatory shifts directly impacts sales outcomes in United States Miami.</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the Sales Report identifies critical challenges unique to United States Miami. The most significant is the talent shortage for bilingual Lawyers with expertise in both U.S. federal law and Latin American jurisdictions—a gap we're addressing through partnerships with University of Miami School of Law and local Hispanic business associations.</w:t>
      </w:r>
    </w:p>
    <w:p>
      <w:pPr>
        <w:pStyle w:val="BodyText"/>
      </w:pPr>
      <w:r>
        <w:t xml:space="preserve">Our strategic recommendations include:</w:t>
      </w:r>
    </w:p>
    <w:p>
      <w:pPr>
        <w:numPr>
          <w:ilvl w:val="0"/>
          <w:numId w:val="1001"/>
        </w:numPr>
        <w:pStyle w:val="Compact"/>
      </w:pPr>
      <w:r>
        <w:rPr>
          <w:bCs/>
          <w:b/>
        </w:rPr>
        <w:t xml:space="preserve">Expand Miami Legal Hub:</w:t>
      </w:r>
      <w:r>
        <w:t xml:space="preserve"> </w:t>
      </w:r>
      <w:r>
        <w:t xml:space="preserve">Open satellite office in Downtown Miami to reduce client travel time, targeting high-net-worth individuals and international businesses.</w:t>
      </w:r>
    </w:p>
    <w:p>
      <w:pPr>
        <w:numPr>
          <w:ilvl w:val="0"/>
          <w:numId w:val="1001"/>
        </w:numPr>
        <w:pStyle w:val="Compact"/>
      </w:pPr>
      <w:r>
        <w:rPr>
          <w:bCs/>
          <w:b/>
        </w:rPr>
        <w:t xml:space="preserve">Specialized Training:</w:t>
      </w:r>
      <w:r>
        <w:t xml:space="preserve"> </w:t>
      </w:r>
      <w:r>
        <w:t xml:space="preserve">Implement mandatory cultural competency certification for all Lawyers handling United States Miami clients, covering local business etiquette and regional legal nuances.</w:t>
      </w:r>
    </w:p>
    <w:p>
      <w:pPr>
        <w:numPr>
          <w:ilvl w:val="0"/>
          <w:numId w:val="1001"/>
        </w:numPr>
        <w:pStyle w:val="Compact"/>
      </w:pPr>
      <w:r>
        <w:rPr>
          <w:bCs/>
          <w:b/>
        </w:rPr>
        <w:t xml:space="preserve">Digital Sales Platform:</w:t>
      </w:r>
      <w:r>
        <w:t xml:space="preserve"> </w:t>
      </w:r>
      <w:r>
        <w:t xml:space="preserve">Launch a Miami-specific client portal featuring real-time case tracking and multilingual support, expected to increase online engagement by 35%.</w:t>
      </w:r>
    </w:p>
    <w:bookmarkEnd w:id="25"/>
    <w:bookmarkStart w:id="26" w:name="conclusion-the-miami-advantage"/>
    <w:p>
      <w:pPr>
        <w:pStyle w:val="Heading2"/>
      </w:pPr>
      <w:r>
        <w:t xml:space="preserve">Conclusion: The Miami Advantage</w:t>
      </w:r>
    </w:p>
    <w:p>
      <w:pPr>
        <w:pStyle w:val="FirstParagraph"/>
      </w:pPr>
      <w:r>
        <w:t xml:space="preserve">This Sales Report unequivocally demonstrates that specializing in United States Miami is not merely a geographic focus—it's a competitive necessity. Our Lawyer talent, deeply embedded in Miami's economic fabric, has generated sustainable growth where other firms struggle with generic approaches. As the largest legal market between New York and Los Angeles, Miami demands local expertise that transcends textbook law.</w:t>
      </w:r>
    </w:p>
    <w:p>
      <w:pPr>
        <w:pStyle w:val="BodyText"/>
      </w:pPr>
      <w:r>
        <w:t xml:space="preserve">Looking ahead, we project Q4 revenue to surpass $5.2 million through strategic focus on immigration and commercial litigation—two practice areas where our Miami-specific Lawyer network creates undeniable value. The data is clear: When a Lawyer understands the heartbeat of United States Miami, client acquisition accelerates, retention deepens, and sales outcomes elevate beyond industry averages.</w:t>
      </w:r>
    </w:p>
    <w:p>
      <w:pPr>
        <w:pStyle w:val="BodyText"/>
      </w:pPr>
      <w:r>
        <w:t xml:space="preserve">"In United States Miami, legal excellence isn't about location—it's about belonging. Our Sales Report proves that when a Lawyer becomes part of the community, not just its provider, success follows naturally."</w:t>
      </w:r>
    </w:p>
    <w:p>
      <w:pPr>
        <w:pStyle w:val="BodyText"/>
      </w:pPr>
      <w:r>
        <w:t xml:space="preserve">Prepared By: Miami Legal Strategy Division | Firm Code MIA-2023-SR</w:t>
      </w:r>
    </w:p>
    <w:p>
      <w:pPr>
        <w:pStyle w:val="BodyText"/>
      </w:pPr>
      <w:r>
        <w:t xml:space="preserve">This Sales Report is confidential and intended solely for internal executive use. Distribution requires authorization from the Chief Revenue Officer.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United States Miami</dc:title>
  <dc:creator/>
  <dc:language>en</dc:language>
  <cp:keywords/>
  <dcterms:created xsi:type="dcterms:W3CDTF">2026-07-24T06:15:51Z</dcterms:created>
  <dcterms:modified xsi:type="dcterms:W3CDTF">2026-07-24T06:15:51Z</dcterms:modified>
</cp:coreProperties>
</file>

<file path=docProps/custom.xml><?xml version="1.0" encoding="utf-8"?>
<Properties xmlns="http://schemas.openxmlformats.org/officeDocument/2006/custom-properties" xmlns:vt="http://schemas.openxmlformats.org/officeDocument/2006/docPropsVTypes"/>
</file>