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f5c4f4487c5cce91692e3bbec8a18f02736da7"/>
    <w:p>
      <w:pPr>
        <w:pStyle w:val="Heading1"/>
      </w:pPr>
      <w:r>
        <w:t xml:space="preserve">2023 Q4 Sales Report: Legal Services Performance in United States New York City</w:t>
      </w:r>
    </w:p>
    <w:p>
      <w:pPr>
        <w:pStyle w:val="FirstParagraph"/>
      </w:pPr>
      <w:r>
        <w:t xml:space="preserve">This official</w:t>
      </w:r>
      <w:r>
        <w:t xml:space="preserve"> </w:t>
      </w:r>
      <w:r>
        <w:rPr>
          <w:bCs/>
          <w:b/>
        </w:rPr>
        <w:t xml:space="preserve">Sales Report</w:t>
      </w:r>
      <w:r>
        <w:t xml:space="preserve"> </w:t>
      </w:r>
      <w:r>
        <w:t xml:space="preserve">details the performance of legal service acquisition strategies across the competitive landscape of the United States New York City market during the fourth quarter of 2023. Prepared for internal leadership and strategic stakeholders, this document provides comprehensive insights into client acquisition, revenue generation, and market positioning for our premier</w:t>
      </w:r>
      <w:r>
        <w:t xml:space="preserve"> </w:t>
      </w:r>
      <w:r>
        <w:rPr>
          <w:bCs/>
          <w:b/>
        </w:rPr>
        <w:t xml:space="preserve">Lawyer</w:t>
      </w:r>
      <w:r>
        <w:t xml:space="preserve"> </w:t>
      </w:r>
      <w:r>
        <w:t xml:space="preserve">practice serving Manhattan, Brooklyn, Queens, The Bronx, and Staten Island.</w:t>
      </w:r>
    </w:p>
    <w:bookmarkStart w:id="21" w:name="X7c5ba85a2039038548a65fd63f69d63b182dbd1"/>
    <w:p>
      <w:pPr>
        <w:pStyle w:val="Heading2"/>
      </w:pPr>
      <w:r>
        <w:t xml:space="preserve">Executive Summary: NYC Legal Sales Momentum</w:t>
      </w:r>
    </w:p>
    <w:p>
      <w:pPr>
        <w:pStyle w:val="FirstParagraph"/>
      </w:pPr>
      <w:r>
        <w:t xml:space="preserve">The United States New York City legal market demonstrated robust growth in Q4 2023, with our firm achieving a 17.3% year-over-year increase in new client acquisition. This performance significantly outpaces the national average of 5.8% for legal services firms (per American Bar Association data) and positions us as a top performer within New York City's crowded legal ecosystem. The</w:t>
      </w:r>
      <w:r>
        <w:t xml:space="preserve"> </w:t>
      </w:r>
      <w:r>
        <w:rPr>
          <w:bCs/>
          <w:b/>
        </w:rPr>
        <w:t xml:space="preserve">Lawyer</w:t>
      </w:r>
      <w:r>
        <w:t xml:space="preserve"> </w:t>
      </w:r>
      <w:r>
        <w:t xml:space="preserve">team's strategic focus on high-demand practice areas – including commercial litigation, immigration law, and intellectual property – directly contributed to this success in the United States New York City marketplace.</w:t>
      </w:r>
    </w:p>
    <w:bookmarkStart w:id="20" w:name="key-sales-metrics-q4-2023-vs.-q4-2022"/>
    <w:p>
      <w:pPr>
        <w:pStyle w:val="Heading3"/>
      </w:pPr>
      <w:r>
        <w:t xml:space="preserve">Key Sales Metrics: Q4 2023 vs. Q4 2022</w:t>
      </w:r>
    </w:p>
    <w:p>
      <w:pPr>
        <w:numPr>
          <w:ilvl w:val="0"/>
          <w:numId w:val="1001"/>
        </w:numPr>
        <w:pStyle w:val="Compact"/>
      </w:pPr>
      <w:r>
        <w:rPr>
          <w:bCs/>
          <w:b/>
        </w:rPr>
        <w:t xml:space="preserve">New Client Acquisition:</w:t>
      </w:r>
      <w:r>
        <w:t xml:space="preserve"> </w:t>
      </w:r>
      <w:r>
        <w:t xml:space="preserve">+17.3% (89 new clients vs. 76 in Q4 2022)</w:t>
      </w:r>
    </w:p>
    <w:p>
      <w:pPr>
        <w:numPr>
          <w:ilvl w:val="0"/>
          <w:numId w:val="1001"/>
        </w:numPr>
        <w:pStyle w:val="Compact"/>
      </w:pPr>
      <w:r>
        <w:rPr>
          <w:bCs/>
          <w:b/>
        </w:rPr>
        <w:t xml:space="preserve">Client Retention Rate:</w:t>
      </w:r>
      <w:r>
        <w:t xml:space="preserve"> </w:t>
      </w:r>
      <w:r>
        <w:t xml:space="preserve">91.7% (exceeding NYC benchmark of 85%)</w:t>
      </w:r>
    </w:p>
    <w:p>
      <w:pPr>
        <w:numPr>
          <w:ilvl w:val="0"/>
          <w:numId w:val="1001"/>
        </w:numPr>
        <w:pStyle w:val="Compact"/>
      </w:pPr>
      <w:r>
        <w:rPr>
          <w:bCs/>
          <w:b/>
        </w:rPr>
        <w:t xml:space="preserve">Lead Conversion Rate:</w:t>
      </w:r>
      <w:r>
        <w:t xml:space="preserve"> </w:t>
      </w:r>
      <w:r>
        <w:t xml:space="preserve">32.4% (up from 26.1%)</w:t>
      </w:r>
    </w:p>
    <w:p>
      <w:pPr>
        <w:numPr>
          <w:ilvl w:val="0"/>
          <w:numId w:val="1001"/>
        </w:numPr>
        <w:pStyle w:val="Compact"/>
      </w:pPr>
      <w:r>
        <w:rPr>
          <w:bCs/>
          <w:b/>
        </w:rPr>
        <w:t xml:space="preserve">MOST IN-Demand PRACTICE AREAS:</w:t>
      </w:r>
      <w:r>
        <w:t xml:space="preserve"> </w:t>
      </w:r>
      <w:r>
        <w:t xml:space="preserve">Commercial Litigation (42%), Immigration Law (28%), IP Protection (19%), Family Law (11%)</w:t>
      </w:r>
    </w:p>
    <w:bookmarkEnd w:id="20"/>
    <w:bookmarkEnd w:id="21"/>
    <w:bookmarkStart w:id="22" w:name="Xd601fc32434baf844527a6930d7a022c499d591"/>
    <w:p>
      <w:pPr>
        <w:pStyle w:val="Heading2"/>
      </w:pPr>
      <w:r>
        <w:t xml:space="preserve">Market Analysis: Navigating United States New York City's Legal Landscape</w:t>
      </w:r>
    </w:p>
    <w:p>
      <w:pPr>
        <w:pStyle w:val="FirstParagraph"/>
      </w:pPr>
      <w:r>
        <w:t xml:space="preserve">New York City remains the nation's largest and most complex legal services market, requiring specialized strategies for any</w:t>
      </w:r>
      <w:r>
        <w:t xml:space="preserve"> </w:t>
      </w:r>
      <w:r>
        <w:rPr>
          <w:bCs/>
          <w:b/>
        </w:rPr>
        <w:t xml:space="preserve">Lawyer</w:t>
      </w:r>
      <w:r>
        <w:t xml:space="preserve"> </w:t>
      </w:r>
      <w:r>
        <w:t xml:space="preserve">seeking sustainable growth. Our Q4 analysis confirms that NYC clients prioritize three factors above all: (1) local expertise in New York State court procedures, (2) responsiveness within 24 business hours, and (3) transparent pricing structures – an insight directly shaping our sales approach.</w:t>
      </w:r>
    </w:p>
    <w:p>
      <w:pPr>
        <w:pStyle w:val="BodyText"/>
      </w:pPr>
      <w:r>
        <w:t xml:space="preserve">The competitive landscape shows increasing pressure from national firms expanding into the United States New York City market. However, our localized strategy targeting neighborhood-specific legal needs – such as landlord-tenant disputes in Brooklyn or financial services litigation in Manhattan's financial district – has created a significant differentiator. Our sales team reported that 68% of new clients explicitly chose our firm due to demonstrated NYC-specific case experience.</w:t>
      </w:r>
    </w:p>
    <w:bookmarkEnd w:id="22"/>
    <w:bookmarkStart w:id="23" w:name="X89282237f86da6f7073239864f9ae2ea80ed9d6"/>
    <w:p>
      <w:pPr>
        <w:pStyle w:val="Heading2"/>
      </w:pPr>
      <w:r>
        <w:t xml:space="preserve">Client Acquisition Strategy: Data-Driven Success</w:t>
      </w:r>
    </w:p>
    <w:p>
      <w:pPr>
        <w:pStyle w:val="FirstParagraph"/>
      </w:pPr>
      <w:r>
        <w:t xml:space="preserve">Our sales methodology evolved significantly during Q4, focusing on hyper-targeted outreach within United States New York City. Key initiatives included:</w:t>
      </w:r>
    </w:p>
    <w:p>
      <w:pPr>
        <w:numPr>
          <w:ilvl w:val="0"/>
          <w:numId w:val="1002"/>
        </w:numPr>
        <w:pStyle w:val="Compact"/>
      </w:pPr>
      <w:r>
        <w:rPr>
          <w:bCs/>
          <w:b/>
        </w:rPr>
        <w:t xml:space="preserve">Geo-Targeted Digital Campaigns:</w:t>
      </w:r>
      <w:r>
        <w:t xml:space="preserve"> </w:t>
      </w:r>
      <w:r>
        <w:t xml:space="preserve">Google Ads and LinkedIn campaigns restricted to NYC zip codes (50% of new leads), generating 127 qualified inquiries</w:t>
      </w:r>
    </w:p>
    <w:p>
      <w:pPr>
        <w:numPr>
          <w:ilvl w:val="0"/>
          <w:numId w:val="1002"/>
        </w:numPr>
        <w:pStyle w:val="Compact"/>
      </w:pPr>
      <w:r>
        <w:rPr>
          <w:bCs/>
          <w:b/>
        </w:rPr>
        <w:t xml:space="preserve">Community Partnerships:</w:t>
      </w:r>
      <w:r>
        <w:t xml:space="preserve"> </w:t>
      </w:r>
      <w:r>
        <w:t xml:space="preserve">Collaborations with 12 NYC small business associations and immigrant support centers, resulting in 34 referred clients</w:t>
      </w:r>
    </w:p>
    <w:p>
      <w:pPr>
        <w:numPr>
          <w:ilvl w:val="0"/>
          <w:numId w:val="1002"/>
        </w:numPr>
        <w:pStyle w:val="Compact"/>
      </w:pPr>
      <w:r>
        <w:rPr>
          <w:bCs/>
          <w:b/>
        </w:rPr>
        <w:t xml:space="preserve">NYC-Specific Content Marketing:</w:t>
      </w:r>
      <w:r>
        <w:t xml:space="preserve"> </w:t>
      </w:r>
      <w:r>
        <w:t xml:space="preserve">Published "Guide to Navigating NY Supreme Court Procedures" (downloaded 897 times), directly positioning our</w:t>
      </w:r>
      <w:r>
        <w:t xml:space="preserve"> </w:t>
      </w:r>
      <w:r>
        <w:rPr>
          <w:bCs/>
          <w:b/>
        </w:rPr>
        <w:t xml:space="preserve">Lawyer</w:t>
      </w:r>
      <w:r>
        <w:t xml:space="preserve"> </w:t>
      </w:r>
      <w:r>
        <w:t xml:space="preserve">team as NYC experts</w:t>
      </w:r>
    </w:p>
    <w:p>
      <w:pPr>
        <w:numPr>
          <w:ilvl w:val="0"/>
          <w:numId w:val="1002"/>
        </w:numPr>
        <w:pStyle w:val="Compact"/>
      </w:pPr>
      <w:r>
        <w:t xml:space="preserve">Social Media Engagement:</w:t>
      </w:r>
    </w:p>
    <w:p>
      <w:pPr>
        <w:pStyle w:val="FirstParagraph"/>
      </w:pPr>
      <w:r>
        <w:t xml:space="preserve">Crucially, all sales communications now explicitly reference our New York City presence. Phrases like "Our Manhattan-based</w:t>
      </w:r>
      <w:r>
        <w:t xml:space="preserve"> </w:t>
      </w:r>
      <w:r>
        <w:rPr>
          <w:bCs/>
          <w:b/>
        </w:rPr>
        <w:t xml:space="preserve">Lawyer</w:t>
      </w:r>
      <w:r>
        <w:t xml:space="preserve"> </w:t>
      </w:r>
      <w:r>
        <w:t xml:space="preserve">team understands the unique dynamics of Brooklyn Supreme Court" appear in 100% of client-facing materials – a tactic that improved conversion rates by 22% according to post-lead surveys.</w:t>
      </w:r>
    </w:p>
    <w:bookmarkEnd w:id="23"/>
    <w:bookmarkStart w:id="25" w:name="challenges-and-strategic-opportunities"/>
    <w:p>
      <w:pPr>
        <w:pStyle w:val="Heading2"/>
      </w:pPr>
      <w:r>
        <w:t xml:space="preserve">Challenges and Strategic Opportunities</w:t>
      </w:r>
    </w:p>
    <w:p>
      <w:pPr>
        <w:pStyle w:val="FirstParagraph"/>
      </w:pPr>
      <w:r>
        <w:t xml:space="preserve">Despite strong results, several challenges emerged in the United States New York City market. The most significant was the 31% increase in client price sensitivity during Q4 – likely tied to broader economic pressures across NYC. Our sales team countered this by implementing tiered service packages (Basic/Standard/Premium) with transparent pricing starting at $2,500 for initial consultations, aligning with NYC market expectations.</w:t>
      </w:r>
    </w:p>
    <w:p>
      <w:pPr>
        <w:pStyle w:val="BodyText"/>
      </w:pPr>
      <w:r>
        <w:t xml:space="preserve">Emerging opportunities include the growing demand for legal services in emerging sectors like cryptocurrency regulation and climate-related litigation – areas where our firm has invested heavily. We identified 18 potential high-value clients in these niches during Q4, representing $720,000 in projected revenue. Additionally, we're piloting an AI-powered lead-scoring system to better predict NYC client needs by analyzing local legal news and court filings.</w:t>
      </w:r>
    </w:p>
    <w:bookmarkStart w:id="24" w:name="client-feedback-insights-the-nyc-factor"/>
    <w:p>
      <w:pPr>
        <w:pStyle w:val="Heading3"/>
      </w:pPr>
      <w:r>
        <w:t xml:space="preserve">Client Feedback Insights: The NYC Factor</w:t>
      </w:r>
    </w:p>
    <w:p>
      <w:pPr>
        <w:pStyle w:val="FirstParagraph"/>
      </w:pPr>
      <w:r>
        <w:t xml:space="preserve">"I chose this law firm because they actually have offices in Brooklyn – I knew they'd understand my landlord-tenant case in Sunset Park," reported one client. This sentiment was echoed by 74% of new clients in our Q4 satisfaction survey, confirming that physical presence and local expertise remain decisive factors for New Yorkers seeking a</w:t>
      </w:r>
      <w:r>
        <w:t xml:space="preserve"> </w:t>
      </w:r>
      <w:r>
        <w:rPr>
          <w:bCs/>
          <w:b/>
        </w:rPr>
        <w:t xml:space="preserve">Lawyer</w:t>
      </w:r>
      <w:r>
        <w:t xml:space="preserve">.</w:t>
      </w:r>
    </w:p>
    <w:p>
      <w:pPr>
        <w:pStyle w:val="BodyText"/>
      </w:pPr>
      <w:r>
        <w:t xml:space="preserve">"Their knowledge of NYC's unique small claims court procedures saved me weeks of confusion," added another client – directly referencing the localized value proposition driving sales success in United States New York City.</w:t>
      </w:r>
    </w:p>
    <w:bookmarkEnd w:id="24"/>
    <w:bookmarkEnd w:id="25"/>
    <w:bookmarkStart w:id="26" w:name="strategic-recommendations-for-2024"/>
    <w:p>
      <w:pPr>
        <w:pStyle w:val="Heading2"/>
      </w:pPr>
      <w:r>
        <w:t xml:space="preserve">Strategic Recommendations for 2024</w:t>
      </w:r>
    </w:p>
    <w:p>
      <w:pPr>
        <w:pStyle w:val="FirstParagraph"/>
      </w:pPr>
      <w:r>
        <w:t xml:space="preserve">Based on Q4 performance, we recommend three priority actions to sustain growth in the United States New York City market:</w:t>
      </w:r>
    </w:p>
    <w:p>
      <w:pPr>
        <w:numPr>
          <w:ilvl w:val="0"/>
          <w:numId w:val="1003"/>
        </w:numPr>
        <w:pStyle w:val="Compact"/>
      </w:pPr>
      <w:r>
        <w:rPr>
          <w:bCs/>
          <w:b/>
        </w:rPr>
        <w:t xml:space="preserve">Expand Neighborhood-Specific Service Teams:</w:t>
      </w:r>
      <w:r>
        <w:t xml:space="preserve"> </w:t>
      </w:r>
      <w:r>
        <w:t xml:space="preserve">Create dedicated Brooklyn and Queens practice teams with local case expertise by Q2 2024</w:t>
      </w:r>
    </w:p>
    <w:p>
      <w:pPr>
        <w:numPr>
          <w:ilvl w:val="0"/>
          <w:numId w:val="1003"/>
        </w:numPr>
        <w:pStyle w:val="Compact"/>
      </w:pPr>
      <w:r>
        <w:rPr>
          <w:bCs/>
          <w:b/>
        </w:rPr>
        <w:t xml:space="preserve">Launch NYC Legal Hotline:</w:t>
      </w:r>
      <w:r>
        <w:t xml:space="preserve"> </w:t>
      </w:r>
      <w:r>
        <w:t xml:space="preserve">Implement a 24/7 text-based consultation service for urgent legal matters within United States New York City (projected to generate $350,000 in new revenue)</w:t>
      </w:r>
    </w:p>
    <w:p>
      <w:pPr>
        <w:numPr>
          <w:ilvl w:val="0"/>
          <w:numId w:val="1003"/>
        </w:numPr>
        <w:pStyle w:val="Compact"/>
      </w:pPr>
      <w:r>
        <w:rPr>
          <w:bCs/>
          <w:b/>
        </w:rPr>
        <w:t xml:space="preserve">Develop NYC-Focused Pricing Model:</w:t>
      </w:r>
      <w:r>
        <w:t xml:space="preserve"> </w:t>
      </w:r>
      <w:r>
        <w:t xml:space="preserve">Introduce "NYC Service Packages" featuring flat fees for common local matters (e.g., "Manhattan Eviction Defense: $1,995")</w:t>
      </w:r>
    </w:p>
    <w:bookmarkEnd w:id="26"/>
    <w:bookmarkStart w:id="27" w:name="X788470c4725a069cf3fd4eb6528861b03a2be82"/>
    <w:p>
      <w:pPr>
        <w:pStyle w:val="Heading2"/>
      </w:pPr>
      <w:r>
        <w:t xml:space="preserve">Conclusion: Dominating the NYC Legal Sales Market</w:t>
      </w:r>
    </w:p>
    <w:p>
      <w:pPr>
        <w:pStyle w:val="FirstParagraph"/>
      </w:pPr>
      <w:r>
        <w:t xml:space="preserve">This Q4 2023</w:t>
      </w:r>
      <w:r>
        <w:t xml:space="preserve"> </w:t>
      </w:r>
      <w:r>
        <w:rPr>
          <w:bCs/>
          <w:b/>
        </w:rPr>
        <w:t xml:space="preserve">Sales Report</w:t>
      </w:r>
      <w:r>
        <w:t xml:space="preserve"> </w:t>
      </w:r>
      <w:r>
        <w:t xml:space="preserve">unequivocally demonstrates that our firm's localized approach to legal services is the key differentiator in the United States New York City market. By embedding "New York City" into every facet of client acquisition – from marketing messaging to service delivery – we've achieved superior conversion rates and retention compared to national competitors. The data confirms that clients seeking a</w:t>
      </w:r>
      <w:r>
        <w:t xml:space="preserve"> </w:t>
      </w:r>
      <w:r>
        <w:rPr>
          <w:bCs/>
          <w:b/>
        </w:rPr>
        <w:t xml:space="preserve">Lawyer</w:t>
      </w:r>
      <w:r>
        <w:t xml:space="preserve"> </w:t>
      </w:r>
      <w:r>
        <w:t xml:space="preserve">in New York City prioritize deep local knowledge above all else.</w:t>
      </w:r>
    </w:p>
    <w:p>
      <w:pPr>
        <w:pStyle w:val="BodyText"/>
      </w:pPr>
      <w:r>
        <w:t xml:space="preserve">As we enter 2024, our sales strategy will double down on hyper-localization within the United States New York City ecosystem. We anticipate maintaining 15-20% annual growth by leveraging our NYC-specific expertise and expanding our neighborhood-based service model. This targeted approach ensures that every sales initiative directly serves the unique legal needs of New Yorkers while driving sustainable revenue growth for our firm.</w:t>
      </w:r>
    </w:p>
    <w:p>
      <w:pPr>
        <w:pStyle w:val="BodyText"/>
      </w:pPr>
      <w:r>
        <w:t xml:space="preserve">Confidential: Prepared for Internal Use Only | Sales Report Date: January 15, 2024 | Firm: Manhattan Legal Partners</w:t>
      </w:r>
    </w:p>
    <w:p>
      <w:pPr>
        <w:pStyle w:val="BodyText"/>
      </w:pPr>
      <w:r>
        <w:t xml:space="preserve">This report covers all legal service sales within the United States New York City metropolitan area including all five boroughs.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Legal Services Performance in United States New York City</dc:title>
  <dc:creator/>
  <dc:language>en</dc:language>
  <cp:keywords/>
  <dcterms:created xsi:type="dcterms:W3CDTF">2026-07-24T18:07:47Z</dcterms:created>
  <dcterms:modified xsi:type="dcterms:W3CDTF">2026-07-24T18:07:47Z</dcterms:modified>
</cp:coreProperties>
</file>

<file path=docProps/custom.xml><?xml version="1.0" encoding="utf-8"?>
<Properties xmlns="http://schemas.openxmlformats.org/officeDocument/2006/custom-properties" xmlns:vt="http://schemas.openxmlformats.org/officeDocument/2006/docPropsVTypes"/>
</file>