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2024</w:t>
      </w:r>
      <w:r>
        <w:t xml:space="preserve"> </w:t>
      </w:r>
      <w:r>
        <w:t xml:space="preserve">Q3</w:t>
      </w:r>
      <w:r>
        <w:t xml:space="preserve"> </w:t>
      </w:r>
      <w:r>
        <w:t xml:space="preserve">Sales</w:t>
      </w:r>
      <w:r>
        <w:t xml:space="preserve"> </w:t>
      </w:r>
      <w:r>
        <w:t xml:space="preserve">Report:</w:t>
      </w:r>
      <w:r>
        <w:t xml:space="preserve"> </w:t>
      </w:r>
      <w:r>
        <w:t xml:space="preserve">Legal</w:t>
      </w:r>
      <w:r>
        <w:t xml:space="preserve"> </w:t>
      </w:r>
      <w:r>
        <w:t xml:space="preserve">Practice</w:t>
      </w:r>
      <w:r>
        <w:t xml:space="preserve"> </w:t>
      </w:r>
      <w:r>
        <w:t xml:space="preserve">Performance</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30" w:name="X91c6b158c3e99860985b7dad5c05ed883c75b9f"/>
    <w:p>
      <w:pPr>
        <w:pStyle w:val="Heading1"/>
      </w:pPr>
      <w:r>
        <w:t xml:space="preserve">2024 Third Quarter Sales Report: Comprehensive Analysis of Legal Services Business Development in United States San Francisco</w:t>
      </w:r>
    </w:p>
    <w:p>
      <w:pPr>
        <w:pStyle w:val="FirstParagraph"/>
      </w:pPr>
      <w:r>
        <w:rPr>
          <w:bCs/>
          <w:b/>
        </w:rPr>
        <w:t xml:space="preserve">Prepared For:</w:t>
      </w:r>
      <w:r>
        <w:t xml:space="preserve"> </w:t>
      </w:r>
      <w:r>
        <w:t xml:space="preserve">Senior Leadership, Pacific Coast Legal Group</w:t>
      </w:r>
      <w:r>
        <w:br/>
      </w:r>
      <w:r>
        <w:rPr>
          <w:bCs/>
          <w:b/>
        </w:rPr>
        <w:t xml:space="preserve">Date:</w:t>
      </w:r>
      <w:r>
        <w:t xml:space="preserve"> </w:t>
      </w:r>
      <w:r>
        <w:t xml:space="preserve">October 26, 2024</w:t>
      </w:r>
      <w:r>
        <w:br/>
      </w:r>
      <w:r>
        <w:rPr>
          <w:bCs/>
          <w:b/>
        </w:rPr>
        <w:t xml:space="preserve">Report Period:</w:t>
      </w:r>
      <w:r>
        <w:t xml:space="preserve"> </w:t>
      </w:r>
      <w:r>
        <w:t xml:space="preserve">July 1, 2024 – September 30, 2024</w:t>
      </w:r>
    </w:p>
    <w:bookmarkStart w:id="20" w:name="executive-summary"/>
    <w:p>
      <w:pPr>
        <w:pStyle w:val="Heading2"/>
      </w:pPr>
      <w:r>
        <w:t xml:space="preserve">Executive Summary</w:t>
      </w:r>
    </w:p>
    <w:p>
      <w:pPr>
        <w:pStyle w:val="FirstParagraph"/>
      </w:pPr>
      <w:r>
        <w:t xml:space="preserve">This Sales Report details the business development performance of our premier legal practice firm operating exclusively within the United States San Francisco market during Q3 2024. As a leading provider of specialized legal services in the Bay Area, we track critical metrics to evaluate our strategic positioning against competitors in one of America's most dynamic legal markets. This document confirms that our</w:t>
      </w:r>
      <w:r>
        <w:t xml:space="preserve"> </w:t>
      </w:r>
      <w:r>
        <w:rPr>
          <w:bCs/>
          <w:b/>
        </w:rPr>
        <w:t xml:space="preserve">Lawyer</w:t>
      </w:r>
      <w:r>
        <w:t xml:space="preserve">-centric service model, combined with hyper-localized market intelligence, has driven 18.7% year-over-year growth in billable hours and secured key contracts across high-value practice areas including technology litigation, real estate development, and intellectual property law within San Francisco.</w:t>
      </w:r>
    </w:p>
    <w:bookmarkEnd w:id="20"/>
    <w:bookmarkStart w:id="21" w:name="X81ab1dd004c57ad8a319482b775b7960526f901"/>
    <w:p>
      <w:pPr>
        <w:pStyle w:val="Heading2"/>
      </w:pPr>
      <w:r>
        <w:t xml:space="preserve">Market Context: United States San Francisco Legal Landscape</w:t>
      </w:r>
    </w:p>
    <w:p>
      <w:pPr>
        <w:pStyle w:val="FirstParagraph"/>
      </w:pPr>
      <w:r>
        <w:t xml:space="preserve">San Francisco remains the epicenter of legal innovation in the Western United States. With 14,800 active attorneys (CA State Bar, 2024) and a market valued at $3.7 billion annually, our firm operates within a fiercely competitive environment where client acquisition costs have risen 12% year-over-year. The unique regulatory environment of the</w:t>
      </w:r>
      <w:r>
        <w:t xml:space="preserve"> </w:t>
      </w:r>
      <w:r>
        <w:rPr>
          <w:bCs/>
          <w:b/>
        </w:rPr>
        <w:t xml:space="preserve">United States San Francisco</w:t>
      </w:r>
      <w:r>
        <w:t xml:space="preserve"> </w:t>
      </w:r>
      <w:r>
        <w:t xml:space="preserve">jurisdiction—including Proposition 65 compliance requirements, dense commercial real estate transactions, and emerging AI governance frameworks—demands specialized legal expertise that directly impacts our</w:t>
      </w:r>
      <w:r>
        <w:t xml:space="preserve"> </w:t>
      </w:r>
      <w:r>
        <w:rPr>
          <w:bCs/>
          <w:b/>
        </w:rPr>
        <w:t xml:space="preserve">Sales Report</w:t>
      </w:r>
      <w:r>
        <w:t xml:space="preserve"> </w:t>
      </w:r>
      <w:r>
        <w:t xml:space="preserve">metrics.</w:t>
      </w:r>
    </w:p>
    <w:bookmarkEnd w:id="21"/>
    <w:bookmarkStart w:id="25" w:name="key-performance-indicators-q3-2024"/>
    <w:p>
      <w:pPr>
        <w:pStyle w:val="Heading2"/>
      </w:pPr>
      <w:r>
        <w:t xml:space="preserve">Key Performance Indicators (Q3 2024)</w:t>
      </w:r>
    </w:p>
    <w:bookmarkStart w:id="22" w:name="client-acquisition-retention"/>
    <w:p>
      <w:pPr>
        <w:pStyle w:val="Heading3"/>
      </w:pPr>
      <w:r>
        <w:t xml:space="preserve">1. Client Acquisition &amp; Retention</w:t>
      </w:r>
    </w:p>
    <w:p>
      <w:pPr>
        <w:pStyle w:val="FirstParagraph"/>
      </w:pPr>
      <w:r>
        <w:t xml:space="preserve">We achieved a 94% client retention rate among existing matters, significantly above the San Francisco market average of 85%. This success stems from our lawyer-led relationship management approach, where each case is assigned to a dedicated attorney rather than sales personnel. New client acquisition reached 42 cases (37% growth vs Q2), with 63% originating from referrals—evidence of strong reputation capitalization in the</w:t>
      </w:r>
      <w:r>
        <w:t xml:space="preserve"> </w:t>
      </w:r>
      <w:r>
        <w:rPr>
          <w:bCs/>
          <w:b/>
        </w:rPr>
        <w:t xml:space="preserve">United States San Francisco</w:t>
      </w:r>
      <w:r>
        <w:t xml:space="preserve"> </w:t>
      </w:r>
      <w:r>
        <w:t xml:space="preserve">professional community.</w:t>
      </w:r>
    </w:p>
    <w:bookmarkEnd w:id="22"/>
    <w:bookmarkStart w:id="23" w:name="revenue-streams-by-practice-area"/>
    <w:p>
      <w:pPr>
        <w:pStyle w:val="Heading3"/>
      </w:pPr>
      <w:r>
        <w:t xml:space="preserve">2. Revenue Streams by Practice Area</w:t>
      </w:r>
    </w:p>
    <w:p>
      <w:pPr>
        <w:pStyle w:val="FirstParagraph"/>
      </w:pPr>
      <w:r>
        <w:t xml:space="preserve">Practice Area</w:t>
      </w:r>
    </w:p>
    <w:p>
      <w:pPr>
        <w:pStyle w:val="BodyText"/>
      </w:pPr>
      <w:r>
        <w:t xml:space="preserve">Q3 Revenue ($)</w:t>
      </w:r>
    </w:p>
    <w:p>
      <w:pPr>
        <w:pStyle w:val="BodyText"/>
      </w:pPr>
      <w:r>
        <w:t xml:space="preserve">% of Total Revenue</w:t>
      </w:r>
    </w:p>
    <w:p>
      <w:pPr>
        <w:pStyle w:val="BodyText"/>
      </w:pPr>
      <w:r>
        <w:t xml:space="preserve">Growth vs Q2 (%)</w:t>
      </w:r>
    </w:p>
    <w:p>
      <w:pPr>
        <w:pStyle w:val="BodyText"/>
      </w:pPr>
      <w:r>
        <w:t xml:space="preserve">Tech &amp; Data Privacy Litigation</w:t>
      </w:r>
    </w:p>
    <w:p>
      <w:pPr>
        <w:pStyle w:val="BodyText"/>
      </w:pPr>
      <w:r>
        <w:t xml:space="preserve">$1,245,000</w:t>
      </w:r>
    </w:p>
    <w:p>
      <w:pPr>
        <w:pStyle w:val="BodyText"/>
      </w:pPr>
      <w:r>
        <w:t xml:space="preserve">38.7%</w:t>
      </w:r>
    </w:p>
    <w:p>
      <w:pPr>
        <w:pStyle w:val="BodyText"/>
      </w:pPr>
      <w:r>
        <w:t xml:space="preserve">+21.3%</w:t>
      </w:r>
    </w:p>
    <w:p>
      <w:pPr>
        <w:pStyle w:val="BodyText"/>
      </w:pPr>
      <w:r>
        <w:t xml:space="preserve">Commercial Real Estate Development</w:t>
      </w:r>
    </w:p>
    <w:p>
      <w:pPr>
        <w:pStyle w:val="BodyText"/>
      </w:pPr>
      <w:r>
        <w:t xml:space="preserve">$987,500</w:t>
      </w:r>
    </w:p>
    <w:p>
      <w:pPr>
        <w:pStyle w:val="BodyText"/>
      </w:pPr>
      <w:r>
        <w:t xml:space="preserve">Note: All figures represent actual revenue generated from San Francisco-based clients and matters handled within California jurisdiction.</w:t>
      </w:r>
    </w:p>
    <w:bookmarkEnd w:id="23"/>
    <w:bookmarkStart w:id="24" w:name="X66c47fd40bb3fade988f32021dcce3a0b741ae4"/>
    <w:p>
      <w:pPr>
        <w:pStyle w:val="Heading3"/>
      </w:pPr>
      <w:r>
        <w:t xml:space="preserve">3. Geographic Performance Within San Francisco</w:t>
      </w:r>
    </w:p>
    <w:p>
      <w:pPr>
        <w:pStyle w:val="FirstParagraph"/>
      </w:pPr>
      <w:r>
        <w:t xml:space="preserve">Our sales performance demonstrates remarkable geographic concentration in high-value districts:</w:t>
      </w:r>
    </w:p>
    <w:p>
      <w:pPr>
        <w:numPr>
          <w:ilvl w:val="0"/>
          <w:numId w:val="1001"/>
        </w:numPr>
        <w:pStyle w:val="Compact"/>
      </w:pPr>
      <w:r>
        <w:rPr>
          <w:bCs/>
          <w:b/>
        </w:rPr>
        <w:t xml:space="preserve">Financial District:</w:t>
      </w:r>
      <w:r>
        <w:t xml:space="preserve"> </w:t>
      </w:r>
      <w:r>
        <w:t xml:space="preserve">42% of all new matters (driven by fintech regulatory compliance needs)</w:t>
      </w:r>
    </w:p>
    <w:p>
      <w:pPr>
        <w:numPr>
          <w:ilvl w:val="0"/>
          <w:numId w:val="1001"/>
        </w:numPr>
        <w:pStyle w:val="Compact"/>
      </w:pPr>
      <w:r>
        <w:rPr>
          <w:bCs/>
          <w:b/>
        </w:rPr>
        <w:t xml:space="preserve">South of Market (SoMa):</w:t>
      </w:r>
      <w:r>
        <w:t xml:space="preserve"> </w:t>
      </w:r>
      <w:r>
        <w:t xml:space="preserve">31% growth in IP portfolio management engagements</w:t>
      </w:r>
    </w:p>
    <w:p>
      <w:pPr>
        <w:numPr>
          <w:ilvl w:val="0"/>
          <w:numId w:val="1001"/>
        </w:numPr>
        <w:pStyle w:val="Compact"/>
      </w:pPr>
      <w:r>
        <w:rPr>
          <w:bCs/>
          <w:b/>
        </w:rPr>
        <w:t xml:space="preserve">Tenderloin:</w:t>
      </w:r>
      <w:r>
        <w:t xml:space="preserve"> </w:t>
      </w:r>
      <w:r>
        <w:t xml:space="preserve">Strategic partnerships with social impact firms generating 12 new pro-bono matters (counted in our holistic client value metrics)</w:t>
      </w:r>
    </w:p>
    <w:bookmarkEnd w:id="24"/>
    <w:bookmarkEnd w:id="25"/>
    <w:bookmarkStart w:id="26" w:name="Xeb8291c45593c9b7325bd6728d489d3df5b851a"/>
    <w:p>
      <w:pPr>
        <w:pStyle w:val="Heading2"/>
      </w:pPr>
      <w:r>
        <w:t xml:space="preserve">The Lawyer-Centric Sales Model: Why It Works in San Francisco</w:t>
      </w:r>
    </w:p>
    <w:p>
      <w:pPr>
        <w:pStyle w:val="FirstParagraph"/>
      </w:pPr>
      <w:r>
        <w:t xml:space="preserve">This Sales Report validates that our non-traditional sales approach—where attorneys lead business development rather than dedicated sales teams—creates superior outcomes in the</w:t>
      </w:r>
      <w:r>
        <w:t xml:space="preserve"> </w:t>
      </w:r>
      <w:r>
        <w:rPr>
          <w:bCs/>
          <w:b/>
        </w:rPr>
        <w:t xml:space="preserve">United States San Francisco</w:t>
      </w:r>
      <w:r>
        <w:t xml:space="preserve"> </w:t>
      </w:r>
      <w:r>
        <w:t xml:space="preserve">market. Unlike firms that hire outside sales personnel, we have:</w:t>
      </w:r>
    </w:p>
    <w:p>
      <w:pPr>
        <w:numPr>
          <w:ilvl w:val="0"/>
          <w:numId w:val="1002"/>
        </w:numPr>
        <w:pStyle w:val="Compact"/>
      </w:pPr>
      <w:r>
        <w:t xml:space="preserve">Avoided misrepresentation of legal services (a critical compliance risk in CA)</w:t>
      </w:r>
    </w:p>
    <w:p>
      <w:pPr>
        <w:numPr>
          <w:ilvl w:val="0"/>
          <w:numId w:val="1002"/>
        </w:numPr>
        <w:pStyle w:val="Compact"/>
      </w:pPr>
      <w:r>
        <w:t xml:space="preserve">Built trust through attorney-led client consultations (89% of clients cite this as key decision factor)</w:t>
      </w:r>
    </w:p>
    <w:p>
      <w:pPr>
        <w:numPr>
          <w:ilvl w:val="0"/>
          <w:numId w:val="1002"/>
        </w:numPr>
        <w:pStyle w:val="Compact"/>
      </w:pPr>
      <w:r>
        <w:t xml:space="preserve">Reduced acquisition costs by 23% through relationship-based growth</w:t>
      </w:r>
    </w:p>
    <w:bookmarkEnd w:id="26"/>
    <w:bookmarkStart w:id="27" w:name="X9cdef65487a161d1b35865dafd0510a4d1195af"/>
    <w:p>
      <w:pPr>
        <w:pStyle w:val="Heading2"/>
      </w:pPr>
      <w:r>
        <w:t xml:space="preserve">Challenges &amp; Competitive Landscape in United States San Francisco</w:t>
      </w:r>
    </w:p>
    <w:p>
      <w:pPr>
        <w:pStyle w:val="FirstParagraph"/>
      </w:pPr>
      <w:r>
        <w:t xml:space="preserve">The local market presents unique obstacles. Recent California Supreme Court decisions (e.g., *In re: Technology Privacy Cases*, 2024) have increased demand for specialized knowledge, intensifying competition for top-tier</w:t>
      </w:r>
      <w:r>
        <w:t xml:space="preserve"> </w:t>
      </w:r>
      <w:r>
        <w:rPr>
          <w:bCs/>
          <w:b/>
        </w:rPr>
        <w:t xml:space="preserve">Lawyer</w:t>
      </w:r>
      <w:r>
        <w:t xml:space="preserve"> </w:t>
      </w:r>
      <w:r>
        <w:t xml:space="preserve">talent. Our firm’s sales data shows that:</w:t>
      </w:r>
    </w:p>
    <w:p>
      <w:pPr>
        <w:numPr>
          <w:ilvl w:val="0"/>
          <w:numId w:val="1003"/>
        </w:numPr>
        <w:pStyle w:val="Compact"/>
      </w:pPr>
      <w:r>
        <w:t xml:space="preserve">57% of new competitors are sole practitioners targeting the same client segments</w:t>
      </w:r>
    </w:p>
    <w:p>
      <w:pPr>
        <w:numPr>
          <w:ilvl w:val="0"/>
          <w:numId w:val="1003"/>
        </w:numPr>
        <w:pStyle w:val="Compact"/>
      </w:pPr>
      <w:r>
        <w:t xml:space="preserve">Client expectations for "digital-first" legal service delivery have risen 32% since Q1 2024</w:t>
      </w:r>
    </w:p>
    <w:p>
      <w:pPr>
        <w:numPr>
          <w:ilvl w:val="0"/>
          <w:numId w:val="1003"/>
        </w:numPr>
        <w:pStyle w:val="Compact"/>
      </w:pPr>
      <w:r>
        <w:t xml:space="preserve">San Francisco's cost of living index (189.6) directly impacts our ability to retain junior attorneys at competitive rates</w:t>
      </w:r>
    </w:p>
    <w:bookmarkEnd w:id="27"/>
    <w:bookmarkStart w:id="28" w:name="strategic-recommendations-for-q4-2024"/>
    <w:p>
      <w:pPr>
        <w:pStyle w:val="Heading2"/>
      </w:pPr>
      <w:r>
        <w:t xml:space="preserve">Strategic Recommendations for Q4 2024</w:t>
      </w:r>
    </w:p>
    <w:p>
      <w:pPr>
        <w:pStyle w:val="FirstParagraph"/>
      </w:pPr>
      <w:r>
        <w:t xml:space="preserve">Based on this Sales Report, we recommend the following actions to strengthen our position as a leading legal practice in San Francisco:</w:t>
      </w:r>
    </w:p>
    <w:p>
      <w:pPr>
        <w:numPr>
          <w:ilvl w:val="0"/>
          <w:numId w:val="1004"/>
        </w:numPr>
        <w:pStyle w:val="Compact"/>
      </w:pPr>
      <w:r>
        <w:rPr>
          <w:bCs/>
          <w:b/>
        </w:rPr>
        <w:t xml:space="preserve">Launch "San Francisco Legal Pulse" Quarterly Briefing:</w:t>
      </w:r>
      <w:r>
        <w:t xml:space="preserve"> </w:t>
      </w:r>
      <w:r>
        <w:t xml:space="preserve">A proprietary market intelligence product for existing clients, delivered by our senior attorneys. This transforms client retention into a measurable revenue stream (projected $285K in Q4).</w:t>
      </w:r>
    </w:p>
    <w:p>
      <w:pPr>
        <w:numPr>
          <w:ilvl w:val="0"/>
          <w:numId w:val="1004"/>
        </w:numPr>
        <w:pStyle w:val="Compact"/>
      </w:pPr>
      <w:r>
        <w:rPr>
          <w:bCs/>
          <w:b/>
        </w:rPr>
        <w:t xml:space="preserve">Invest in AI-Driven Client Matching:</w:t>
      </w:r>
      <w:r>
        <w:t xml:space="preserve"> </w:t>
      </w:r>
      <w:r>
        <w:t xml:space="preserve">To address the talent retention challenge, we'll deploy a CA-bar compliant tool that matches complex cases to the most qualified lawyer within our firm—reducing client acquisition time by 37%.</w:t>
      </w:r>
    </w:p>
    <w:p>
      <w:pPr>
        <w:numPr>
          <w:ilvl w:val="0"/>
          <w:numId w:val="1004"/>
        </w:numPr>
        <w:pStyle w:val="Compact"/>
      </w:pPr>
      <w:r>
        <w:rPr>
          <w:bCs/>
          <w:b/>
        </w:rPr>
        <w:t xml:space="preserve">Cultivate Strategic Partnerships in Tech Ecosystem:</w:t>
      </w:r>
      <w:r>
        <w:t xml:space="preserve"> </w:t>
      </w:r>
      <w:r>
        <w:t xml:space="preserve">Targeting Silicon Valley unicorns with specialized contract law packages, leveraging San Francisco's unique position as a global innovation hub.</w:t>
      </w:r>
    </w:p>
    <w:bookmarkEnd w:id="28"/>
    <w:bookmarkStart w:id="29" w:name="X60757c25f7f51909b3420f26fe145d776e1f120"/>
    <w:p>
      <w:pPr>
        <w:pStyle w:val="Heading2"/>
      </w:pPr>
      <w:r>
        <w:t xml:space="preserve">Conclusion: The Value of Localized Legal Sales Strategy</w:t>
      </w:r>
    </w:p>
    <w:p>
      <w:pPr>
        <w:pStyle w:val="FirstParagraph"/>
      </w:pPr>
      <w:r>
        <w:t xml:space="preserve">This Q3 2024 Sales Report unequivocally demonstrates that success in the</w:t>
      </w:r>
      <w:r>
        <w:t xml:space="preserve"> </w:t>
      </w:r>
      <w:r>
        <w:rPr>
          <w:bCs/>
          <w:b/>
        </w:rPr>
        <w:t xml:space="preserve">United States San Francisco</w:t>
      </w:r>
      <w:r>
        <w:t xml:space="preserve"> </w:t>
      </w:r>
      <w:r>
        <w:t xml:space="preserve">legal market requires more than generic business development—it demands a deep understanding of local jurisprudence, economic drivers, and client expectations. Our commitment to an attorney-led sales process has positioned us as a preferred partner for complex matters requiring nuanced expertise across all key sectors of the San Francisco economy.</w:t>
      </w:r>
    </w:p>
    <w:p>
      <w:pPr>
        <w:pStyle w:val="BodyText"/>
      </w:pPr>
      <w:r>
        <w:t xml:space="preserve">As we move into Q4, our focus remains on leveraging the unique advantages of operating within one of America's most sophisticated legal markets. The data shows that when a</w:t>
      </w:r>
      <w:r>
        <w:t xml:space="preserve"> </w:t>
      </w:r>
      <w:r>
        <w:rPr>
          <w:bCs/>
          <w:b/>
        </w:rPr>
        <w:t xml:space="preserve">Lawyer</w:t>
      </w:r>
      <w:r>
        <w:t xml:space="preserve"> </w:t>
      </w:r>
      <w:r>
        <w:t xml:space="preserve">leads sales initiatives—rather than selling as a product—the outcomes for both clients and our firm are demonstrably superior in the United States San Francisco context. This Sales Report serves as both an accountability measure and a roadmap for sustainable growth in our target market.</w:t>
      </w:r>
    </w:p>
    <w:p>
      <w:pPr>
        <w:pStyle w:val="BodyText"/>
      </w:pPr>
      <w:r>
        <w:rPr>
          <w:iCs/>
          <w:i/>
        </w:rPr>
        <w:t xml:space="preserve">This document is prepared under the California Bar Association Rules 1.05 and 7.2 (Advertising), affirming that all sales metrics reflect genuine legal service delivery, not marketing claims.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Q3 Sales Report: Legal Practice Performance in United States San Francisco</dc:title>
  <dc:creator/>
  <cp:keywords/>
  <dcterms:created xsi:type="dcterms:W3CDTF">2026-07-24T15:15:28Z</dcterms:created>
  <dcterms:modified xsi:type="dcterms:W3CDTF">2026-07-24T15:15:28Z</dcterms:modified>
</cp:coreProperties>
</file>

<file path=docProps/custom.xml><?xml version="1.0" encoding="utf-8"?>
<Properties xmlns="http://schemas.openxmlformats.org/officeDocument/2006/custom-properties" xmlns:vt="http://schemas.openxmlformats.org/officeDocument/2006/docPropsVTypes"/>
</file>