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8" w:name="Xf8f831b7a0bc125d3bddfcc3817043694bdeb46"/>
    <w:p>
      <w:pPr>
        <w:pStyle w:val="Heading1"/>
      </w:pPr>
      <w:r>
        <w:t xml:space="preserve">Sales Report: Legal Service Performance Analysis - Tashkent, Uzbekistan Market (Q3 2023)</w:t>
      </w:r>
    </w:p>
    <w:bookmarkStart w:id="27" w:name="prepared-for-senior-leadership-team"/>
    <w:p>
      <w:pPr>
        <w:pStyle w:val="Heading2"/>
      </w:pPr>
      <w:r>
        <w:t xml:space="preserve">Prepared for: Senior Leadership Team</w:t>
      </w:r>
    </w:p>
    <w:p>
      <w:pPr>
        <w:pStyle w:val="FirstParagraph"/>
      </w:pPr>
      <w:r>
        <w:rPr>
          <w:bCs/>
          <w:b/>
        </w:rPr>
        <w:t xml:space="preserve">Date:</w:t>
      </w:r>
      <w:r>
        <w:t xml:space="preserve"> </w:t>
      </w:r>
      <w:r>
        <w:t xml:space="preserve">October 26, 2023</w:t>
      </w:r>
    </w:p>
    <w:p>
      <w:pPr>
        <w:pStyle w:val="BodyText"/>
      </w:pPr>
      <w:r>
        <w:rPr>
          <w:bCs/>
          <w:b/>
        </w:rPr>
        <w:t xml:space="preserve">Prepared By:</w:t>
      </w:r>
      <w:r>
        <w:t xml:space="preserve"> </w:t>
      </w:r>
      <w:r>
        <w:t xml:space="preserve">International Legal Sales Department</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comprehensive sales report details the performance of our legal services division operating from Tashkent, Uzbekistan. As a premier law firm serving the rapidly evolving business landscape of Uzbekistan Tashkent, we have achieved remarkable growth in Q3 2023, securing 18 new corporate contracts worth $1.4M USD. The report underscores our strategic positioning as the leading legal advisor for multinational corporations navigating Uzbekistan's complex regulatory environment. Our sales pipeline demonstrates exceptional strength in commercial litigation, foreign investment advisory, and intellectual property services – all critical for businesses establishing presence in Tashkent.</w:t>
      </w:r>
    </w:p>
    <w:bookmarkEnd w:id="20"/>
    <w:bookmarkStart w:id="21" w:name="Xaf8ae277d5acc0d62c551e34dc7c566508eca7d"/>
    <w:p>
      <w:pPr>
        <w:pStyle w:val="Heading3"/>
      </w:pPr>
      <w:r>
        <w:t xml:space="preserve">II. Market Context: Legal Services Demand in Uzbekistan Tashkent</w:t>
      </w:r>
    </w:p>
    <w:p>
      <w:pPr>
        <w:pStyle w:val="FirstParagraph"/>
      </w:pPr>
      <w:r>
        <w:t xml:space="preserve">Tashkent's emergence as Central Asia's financial hub has created unprecedented demand for sophisticated legal counsel. With Uzbekistan implementing landmark economic reforms since 2019, foreign direct investment (FDI) surged by 42% in 2022, creating a fertile market for specialized law firms. As the capital city and economic nerve center, Tashkent represents 68% of all corporate legal services transactions in Uzbekistan. Our sales data confirms that clients specifically seek lawyers with dual expertise: deep knowledge of Uzbek legal frameworks combined with international business acumen.</w:t>
      </w:r>
    </w:p>
    <w:p>
      <w:pPr>
        <w:pStyle w:val="BodyText"/>
      </w:pPr>
      <w:r>
        <w:t xml:space="preserve">Notably, 73% of new client inquiries in Q3 originated from companies expanding operations into Tashkent's Special Economic Zones (SEZs), particularly the Tashkent City SEZ. This trend validates our strategic focus on Uzbekistan's investment-friendly policies and positions us as the preferred legal partner for foreign enterprises entering the Tashkent market.</w:t>
      </w:r>
    </w:p>
    <w:bookmarkEnd w:id="21"/>
    <w:bookmarkStart w:id="22" w:name="iii.-sales-performance-metrics-q3-2023"/>
    <w:p>
      <w:pPr>
        <w:pStyle w:val="Heading3"/>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Number of Contracts</w:t>
            </w:r>
          </w:p>
        </w:tc>
        <w:tc>
          <w:tcPr/>
          <w:p>
            <w:pPr>
              <w:pStyle w:val="Compact"/>
              <w:jc w:val="left"/>
            </w:pPr>
            <w:r>
              <w:t xml:space="preserve">Total Value (USD)</w:t>
            </w:r>
          </w:p>
        </w:tc>
        <w:tc>
          <w:tcPr/>
          <w:p>
            <w:pPr>
              <w:pStyle w:val="Compact"/>
              <w:jc w:val="left"/>
            </w:pPr>
            <w:r>
              <w:t xml:space="preserve">YoY Growth</w:t>
            </w:r>
          </w:p>
        </w:tc>
      </w:tr>
      <w:tr>
        <w:tc>
          <w:tcPr/>
          <w:p>
            <w:pPr>
              <w:pStyle w:val="Compact"/>
              <w:jc w:val="left"/>
            </w:pPr>
            <w:r>
              <w:t xml:space="preserve">Foreign Investment Advisory (Tashkent-based)</w:t>
            </w:r>
          </w:p>
        </w:tc>
        <w:tc>
          <w:tcPr/>
          <w:p>
            <w:pPr>
              <w:pStyle w:val="Compact"/>
              <w:jc w:val="left"/>
            </w:pPr>
            <w:r>
              <w:t xml:space="preserve">7</w:t>
            </w:r>
          </w:p>
        </w:tc>
        <w:tc>
          <w:tcPr/>
          <w:p>
            <w:pPr>
              <w:pStyle w:val="Compact"/>
              <w:jc w:val="left"/>
            </w:pPr>
            <w:r>
              <w:t xml:space="preserve">$580,000</w:t>
            </w:r>
          </w:p>
        </w:tc>
        <w:tc>
          <w:tcPr/>
          <w:p>
            <w:pPr>
              <w:pStyle w:val="Compact"/>
              <w:jc w:val="left"/>
            </w:pPr>
            <w:r>
              <w:t xml:space="preserve">+39%</w:t>
            </w:r>
          </w:p>
        </w:tc>
      </w:tr>
      <w:tr>
        <w:tc>
          <w:tcPr/>
          <w:p>
            <w:pPr>
              <w:pStyle w:val="Compact"/>
              <w:jc w:val="left"/>
            </w:pPr>
            <w:r>
              <w:t xml:space="preserve">Commercial Litigation (Tashkent Courts)</w:t>
            </w:r>
          </w:p>
        </w:tc>
        <w:tc>
          <w:tcPr/>
          <w:p>
            <w:pPr>
              <w:pStyle w:val="Compact"/>
              <w:jc w:val="left"/>
            </w:pPr>
            <w:r>
              <w:t xml:space="preserve">5</w:t>
            </w:r>
          </w:p>
        </w:tc>
        <w:tc>
          <w:tcPr/>
          <w:p>
            <w:pPr>
              <w:pStyle w:val="Compact"/>
              <w:jc w:val="left"/>
            </w:pPr>
            <w:r>
              <w:t xml:space="preserve">$420,000</w:t>
            </w:r>
          </w:p>
        </w:tc>
        <w:tc>
          <w:tcPr/>
          <w:p>
            <w:pPr>
              <w:pStyle w:val="Compact"/>
              <w:jc w:val="left"/>
            </w:pPr>
            <w:r>
              <w:t xml:space="preserve">+28%</w:t>
            </w:r>
          </w:p>
        </w:tc>
      </w:tr>
      <w:tr>
        <w:tc>
          <w:tcPr/>
          <w:p>
            <w:pPr>
              <w:pStyle w:val="Compact"/>
              <w:jc w:val="left"/>
            </w:pPr>
            <w:r>
              <w:t xml:space="preserve">Intellectual Property Protection</w:t>
            </w:r>
          </w:p>
        </w:tc>
        <w:tc>
          <w:tcPr/>
          <w:p>
            <w:pPr>
              <w:pStyle w:val="Compact"/>
              <w:jc w:val="left"/>
            </w:pPr>
            <w:r>
              <w:t xml:space="preserve">3</w:t>
            </w:r>
          </w:p>
        </w:tc>
        <w:tc>
          <w:tcPr/>
          <w:p>
            <w:pPr>
              <w:pStyle w:val="Compact"/>
              <w:jc w:val="left"/>
            </w:pPr>
            <w:r>
              <w:t xml:space="preserve">$195,000</w:t>
            </w:r>
          </w:p>
        </w:tc>
        <w:tc>
          <w:tcPr/>
          <w:p>
            <w:pPr>
              <w:pStyle w:val="Compact"/>
              <w:jc w:val="left"/>
            </w:pPr>
            <w:r>
              <w:t xml:space="preserve">+67%</w:t>
            </w:r>
          </w:p>
        </w:tc>
      </w:tr>
      <w:tr>
        <w:tc>
          <w:tcPr/>
          <w:p>
            <w:pPr>
              <w:pStyle w:val="Compact"/>
              <w:jc w:val="left"/>
            </w:pPr>
            <w:r>
              <w:rPr>
                <w:bCs/>
                <w:b/>
              </w:rPr>
              <w:t xml:space="preserve">Total</w:t>
            </w:r>
          </w:p>
        </w:tc>
        <w:tc>
          <w:tcPr/>
          <w:p>
            <w:pPr>
              <w:pStyle w:val="Compact"/>
              <w:jc w:val="left"/>
            </w:pPr>
            <w:r>
              <w:rPr>
                <w:bCs/>
                <w:b/>
              </w:rPr>
              <w:t xml:space="preserve">15</w:t>
            </w:r>
          </w:p>
        </w:tc>
        <w:tc>
          <w:tcPr/>
          <w:p>
            <w:pPr>
              <w:pStyle w:val="Compact"/>
              <w:jc w:val="left"/>
            </w:pPr>
            <w:r>
              <w:rPr>
                <w:bCs/>
                <w:b/>
              </w:rPr>
              <w:t xml:space="preserve">$1,195,000</w:t>
            </w:r>
          </w:p>
        </w:tc>
        <w:tc>
          <w:tcPr/>
          <w:p>
            <w:pPr>
              <w:pStyle w:val="Compact"/>
              <w:jc w:val="left"/>
            </w:pPr>
            <w:r>
              <w:rPr>
                <w:bCs/>
                <w:b/>
              </w:rPr>
              <w:t xml:space="preserve">+36%</w:t>
            </w:r>
          </w:p>
        </w:tc>
      </w:tr>
    </w:tbl>
    <w:p>
      <w:pPr>
        <w:pStyle w:val="BodyText"/>
      </w:pPr>
      <w:r>
        <w:t xml:space="preserve">The data reveals our Tashkent-based lawyer team's exceptional performance in high-value transactions. Notably, 42% of all contracts came from repeat clients – a testament to the quality of legal counsel provided by our Uzbekistan Tashkent office. Our sales conversion rate improved to 63% (vs. 51% in Q2), directly attributable to the expertise of our local lawyers who navigate Uzbekistan's unique bureaucratic systems with precision.</w:t>
      </w:r>
    </w:p>
    <w:bookmarkEnd w:id="22"/>
    <w:bookmarkStart w:id="23" w:name="iv.-client-feedback-case-studies"/>
    <w:p>
      <w:pPr>
        <w:pStyle w:val="Heading3"/>
      </w:pPr>
      <w:r>
        <w:t xml:space="preserve">IV. Client Feedback &amp; Case Studies</w:t>
      </w:r>
    </w:p>
    <w:p>
      <w:pPr>
        <w:pStyle w:val="FirstParagraph"/>
      </w:pPr>
      <w:r>
        <w:t xml:space="preserve">Client testimonials consistently highlight two critical factors:</w:t>
      </w:r>
    </w:p>
    <w:p>
      <w:pPr>
        <w:numPr>
          <w:ilvl w:val="0"/>
          <w:numId w:val="1001"/>
        </w:numPr>
        <w:pStyle w:val="Compact"/>
      </w:pPr>
      <w:r>
        <w:rPr>
          <w:bCs/>
          <w:b/>
        </w:rPr>
        <w:t xml:space="preserve">"Their Tashkent lawyer understood both international standards and Uzbek legal nuances – crucial for our $8M manufacturing facility setup."</w:t>
      </w:r>
      <w:r>
        <w:t xml:space="preserve"> </w:t>
      </w:r>
      <w:r>
        <w:t xml:space="preserve">(European Manufacturing Consortium, Q3 2023)</w:t>
      </w:r>
    </w:p>
    <w:p>
      <w:pPr>
        <w:numPr>
          <w:ilvl w:val="0"/>
          <w:numId w:val="1001"/>
        </w:numPr>
        <w:pStyle w:val="Compact"/>
      </w:pPr>
      <w:r>
        <w:rPr>
          <w:bCs/>
          <w:b/>
        </w:rPr>
        <w:t xml:space="preserve">"The local attorney's connections with Tashkent court officials expedited our dispute resolution by 47%."</w:t>
      </w:r>
      <w:r>
        <w:t xml:space="preserve"> </w:t>
      </w:r>
      <w:r>
        <w:t xml:space="preserve">(Asian Financial Group, Q3 2023)</w:t>
      </w:r>
    </w:p>
    <w:p>
      <w:pPr>
        <w:pStyle w:val="FirstParagraph"/>
      </w:pPr>
      <w:r>
        <w:t xml:space="preserve">One flagship case exemplifies our value: Our Uzbekistan Tashkent lawyer team secured a landmark trademark victory for a German pharma company against local counterfeiters in the Tashkent Regional Court. This case not only generated $145,000 in revenue but also became a benchmark for foreign businesses seeking IP protection in Uzbekistan.</w:t>
      </w:r>
    </w:p>
    <w:bookmarkEnd w:id="23"/>
    <w:bookmarkStart w:id="24" w:name="v.-challenges-strategic-adaptations"/>
    <w:p>
      <w:pPr>
        <w:pStyle w:val="Heading3"/>
      </w:pPr>
      <w:r>
        <w:t xml:space="preserve">V. Challenges &amp; Strategic Adaptations</w:t>
      </w:r>
    </w:p>
    <w:p>
      <w:pPr>
        <w:pStyle w:val="FirstParagraph"/>
      </w:pPr>
      <w:r>
        <w:t xml:space="preserve">Despite strong performance, we identified key challenges requiring our Tashkent-based lawyer team to innovate:</w:t>
      </w:r>
    </w:p>
    <w:p>
      <w:pPr>
        <w:numPr>
          <w:ilvl w:val="0"/>
          <w:numId w:val="1002"/>
        </w:numPr>
        <w:pStyle w:val="Compact"/>
      </w:pPr>
      <w:r>
        <w:rPr>
          <w:bCs/>
          <w:b/>
        </w:rPr>
        <w:t xml:space="preserve">Regulatory Complexity:</w:t>
      </w:r>
      <w:r>
        <w:t xml:space="preserve"> </w:t>
      </w:r>
      <w:r>
        <w:t xml:space="preserve">New Uzbekistan laws on foreign investment require constant legal adaptation. Our Tashkent office implemented bi-weekly regulatory briefings led by senior lawyers.</w:t>
      </w:r>
    </w:p>
    <w:p>
      <w:pPr>
        <w:numPr>
          <w:ilvl w:val="0"/>
          <w:numId w:val="1002"/>
        </w:numPr>
        <w:pStyle w:val="Compact"/>
      </w:pPr>
      <w:r>
        <w:rPr>
          <w:bCs/>
          <w:b/>
        </w:rPr>
        <w:t xml:space="preserve">Cultural Nuances:</w:t>
      </w:r>
      <w:r>
        <w:t xml:space="preserve"> </w:t>
      </w:r>
      <w:r>
        <w:t xml:space="preserve">68% of client concerns related to business etiquette in Uzbekistan Tashkent. We now include cultural competency training for all sales personnel.</w:t>
      </w:r>
    </w:p>
    <w:p>
      <w:pPr>
        <w:numPr>
          <w:ilvl w:val="0"/>
          <w:numId w:val="1002"/>
        </w:numPr>
        <w:pStyle w:val="Compact"/>
      </w:pPr>
      <w:r>
        <w:rPr>
          <w:bCs/>
          <w:b/>
        </w:rPr>
        <w:t xml:space="preserve">Competition:</w:t>
      </w:r>
      <w:r>
        <w:t xml:space="preserve"> </w:t>
      </w:r>
      <w:r>
        <w:t xml:space="preserve">Increased local law firms offering cheaper services. Our response: Emphasized our unique value proposition – "Uzbekistan-certified lawyers with global practice standards."</w:t>
      </w:r>
    </w:p>
    <w:bookmarkEnd w:id="24"/>
    <w:bookmarkStart w:id="25" w:name="X038521dd8798d89e393b59c074b647b12f3977a"/>
    <w:p>
      <w:pPr>
        <w:pStyle w:val="Heading3"/>
      </w:pPr>
      <w:r>
        <w:t xml:space="preserve">VI. Future Sales Strategy for Uzbekistan Tashkent Market</w:t>
      </w:r>
    </w:p>
    <w:p>
      <w:pPr>
        <w:pStyle w:val="FirstParagraph"/>
      </w:pPr>
      <w:r>
        <w:t xml:space="preserve">Based on Q3 performance, we recommend three priority initiatives:</w:t>
      </w:r>
    </w:p>
    <w:p>
      <w:pPr>
        <w:numPr>
          <w:ilvl w:val="0"/>
          <w:numId w:val="1003"/>
        </w:numPr>
        <w:pStyle w:val="Compact"/>
      </w:pPr>
      <w:r>
        <w:rPr>
          <w:bCs/>
          <w:b/>
        </w:rPr>
        <w:t xml:space="preserve">Specialized Tashkent SEZ Practice Group:</w:t>
      </w:r>
      <w:r>
        <w:t xml:space="preserve"> </w:t>
      </w:r>
      <w:r>
        <w:t xml:space="preserve">Establish dedicated team focusing exclusively on the 17 SEZs in Tashkent region. Projected revenue: $2.3M by Q2 2024.</w:t>
      </w:r>
    </w:p>
    <w:p>
      <w:pPr>
        <w:numPr>
          <w:ilvl w:val="0"/>
          <w:numId w:val="1003"/>
        </w:numPr>
        <w:pStyle w:val="Compact"/>
      </w:pPr>
      <w:r>
        <w:rPr>
          <w:bCs/>
          <w:b/>
        </w:rPr>
        <w:t xml:space="preserve">Digital Sales Platform for Uzbekistan Market:</w:t>
      </w:r>
      <w:r>
        <w:t xml:space="preserve"> </w:t>
      </w:r>
      <w:r>
        <w:t xml:space="preserve">Launch multilingual portal featuring Uzbek legal guides and real-time compliance updates for businesses operating in Tashkent.</w:t>
      </w:r>
    </w:p>
    <w:p>
      <w:pPr>
        <w:numPr>
          <w:ilvl w:val="0"/>
          <w:numId w:val="1003"/>
        </w:numPr>
        <w:pStyle w:val="Compact"/>
      </w:pPr>
      <w:r>
        <w:rPr>
          <w:bCs/>
          <w:b/>
        </w:rPr>
        <w:t xml:space="preserve">Strategic Partnerships with Tashkent Chambers:</w:t>
      </w:r>
      <w:r>
        <w:t xml:space="preserve"> </w:t>
      </w:r>
      <w:r>
        <w:t xml:space="preserve">Formalize relationships with Tashkent Chamber of Commerce to co-host quarterly business forums on "Legal Pathways to Uzbekistan."</w:t>
      </w:r>
    </w:p>
    <w:p>
      <w:pPr>
        <w:pStyle w:val="FirstParagraph"/>
      </w:pPr>
      <w:r>
        <w:t xml:space="preserve">This strategy directly leverages our competitive advantage: the deep local knowledge of our lawyers operating within Uzbekistan Tashkent's ecosystem. As one client noted, "They don't just speak English; they understand how business operates in Tashkent."</w:t>
      </w:r>
    </w:p>
    <w:bookmarkEnd w:id="25"/>
    <w:bookmarkStart w:id="26" w:name="vii.-conclusion"/>
    <w:p>
      <w:pPr>
        <w:pStyle w:val="Heading3"/>
      </w:pPr>
      <w:r>
        <w:t xml:space="preserve">VII. Conclusion</w:t>
      </w:r>
    </w:p>
    <w:p>
      <w:pPr>
        <w:pStyle w:val="FirstParagraph"/>
      </w:pPr>
      <w:r>
        <w:t xml:space="preserve">Our Q3 sales performance in Uzbekistan Tashkent demonstrates that specialized legal expertise is the critical differentiator in Central Asia's most dynamic market. The success of our lawyer team – combining international standards with hyperlocal understanding of Uzbekistan's legal landscape – has positioned us as the preferred partner for global enterprises entering this strategic market.</w:t>
      </w:r>
    </w:p>
    <w:p>
      <w:pPr>
        <w:pStyle w:val="BodyText"/>
      </w:pPr>
      <w:r>
        <w:t xml:space="preserve">With Tashkent projected to become a $25B+ investment destination by 2025 (World Bank), our focus on delivering exceptional sales outcomes through locally embedded lawyers will drive sustained growth. We recommend doubling down on Tashkent operations, with specific targets: 30% revenue growth in Q4 from Uzbekistan-based clients and expanding our lawyer team in Tashkent by 25% by Q1 2024.</w:t>
      </w:r>
    </w:p>
    <w:p>
      <w:pPr>
        <w:pStyle w:val="BodyText"/>
      </w:pPr>
      <w:r>
        <w:rPr>
          <w:bCs/>
          <w:b/>
        </w:rPr>
        <w:t xml:space="preserve">Final Recommendation:</w:t>
      </w:r>
      <w:r>
        <w:t xml:space="preserve"> </w:t>
      </w:r>
      <w:r>
        <w:t xml:space="preserve">Our sales strategy centered on the unique value proposition of "Uzbekistan Tashkent-based lawyers" has proven successful. This model should be replicated across our Central Asian operations, making it the cornerstone of our regional growth plan.</w:t>
      </w:r>
    </w:p>
    <w:p>
      <w:r>
        <w:pict>
          <v:rect style="width:0;height:1.5pt" o:hralign="center" o:hrstd="t" o:hr="t"/>
        </w:pict>
      </w:r>
    </w:p>
    <w:p>
      <w:pPr>
        <w:pStyle w:val="FirstParagraph"/>
      </w:pPr>
      <w:r>
        <w:t xml:space="preserve">This Sales Report is prepared in accordance with Uzbekistan legal compliance standards and international business reporting practices for the Tashkent-based legal services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Tashkent, Uzbekistan</dc:title>
  <dc:creator/>
  <dc:language>en</dc:language>
  <cp:keywords/>
  <dcterms:created xsi:type="dcterms:W3CDTF">2026-07-24T00:15:38Z</dcterms:created>
  <dcterms:modified xsi:type="dcterms:W3CDTF">2026-07-24T00:15:38Z</dcterms:modified>
</cp:coreProperties>
</file>

<file path=docProps/custom.xml><?xml version="1.0" encoding="utf-8"?>
<Properties xmlns="http://schemas.openxmlformats.org/officeDocument/2006/custom-properties" xmlns:vt="http://schemas.openxmlformats.org/officeDocument/2006/docPropsVTypes"/>
</file>