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w:t>
      </w:r>
      <w:r>
        <w:t xml:space="preserve"> </w:t>
      </w:r>
      <w:r>
        <w:t xml:space="preserve">Legal</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7" w:name="X8bd249ae9da4c2dee0061936f240f46569b34e9"/>
    <w:p>
      <w:pPr>
        <w:pStyle w:val="Heading1"/>
      </w:pPr>
      <w:r>
        <w:t xml:space="preserve">OFFICIAL SALES REPORT: LEGAL SERVICES PERFORMANCE IN CARACAS, VENEZUELA</w:t>
      </w:r>
      <w:r>
        <w:br/>
      </w:r>
      <w:r>
        <w:t xml:space="preserve">(QUARTERLY REPORT - JANUARY TO MARCH 2024)</w:t>
      </w:r>
    </w:p>
    <w:p>
      <w:pPr>
        <w:pStyle w:val="FirstParagraph"/>
      </w:pPr>
      <w:r>
        <w:t xml:space="preserve">This comprehensive Sales Report details the operational and commercial performance of our premier legal practice in Venezuela Caracas during Q1 2024. As a leading firm dedicated to delivering exceptional legal solutions across Venezuela's complex jurisdiction, we've documented significant progress in client acquisition, service monetization, and market penetration within the Caracas metropolitan area. This document serves as both an internal performance metric and a strategic roadmap for our Lawyer services delivery in Venezuela's most dynamic legal market.</w:t>
      </w:r>
    </w:p>
    <w:bookmarkStart w:id="20" w:name="executive-summary"/>
    <w:p>
      <w:pPr>
        <w:pStyle w:val="Heading2"/>
      </w:pPr>
      <w:r>
        <w:t xml:space="preserve">EXECUTIVE SUMMARY</w:t>
      </w:r>
    </w:p>
    <w:p>
      <w:pPr>
        <w:pStyle w:val="FirstParagraph"/>
      </w:pPr>
      <w:r>
        <w:t xml:space="preserve">The Q1 2024 Sales Report demonstrates a 17.3% year-over-year increase in revenue generation for our Caracas-based Legal Services division, reaching $845,600 USD equivalent (Venezuelan bolívar at official exchange rates). This growth was achieved despite ongoing economic volatility in Venezuela Caracas, confirming our firm's strategic positioning as the preferred choice for both domestic and international clients requiring specialized legal representation. Our core sales channels—corporate client acquisition, individual litigation support, and cross-border dispute resolution—contributed to this success through targeted Lawyer engagement strategies tailored to Venezuela's unique legal landscape.</w:t>
      </w:r>
    </w:p>
    <w:bookmarkEnd w:id="20"/>
    <w:bookmarkStart w:id="21" w:name="service-line-sales-performance"/>
    <w:p>
      <w:pPr>
        <w:pStyle w:val="Heading2"/>
      </w:pPr>
      <w:r>
        <w:t xml:space="preserve">SERVICE LINE SALES PERFORMANCE</w:t>
      </w:r>
    </w:p>
    <w:p>
      <w:pPr>
        <w:pStyle w:val="FirstParagraph"/>
      </w:pPr>
      <w:r>
        <w:t xml:space="preserve">Our Sales Report reveals that corporate legal services generated the highest revenue segment at $487,900 (57.7% of total), with a 23% increase from Q4 2023. This surge directly resulted from new contracts secured by our Senior Lawyer team with multinational firms operating in Venezuela Caracas's industrial parks and commercial districts. The firm's specialized knowledge in Venezuelan tax law and foreign investment regulations proved critical in closing these high-value engagements.</w:t>
      </w:r>
    </w:p>
    <w:p>
      <w:pPr>
        <w:pStyle w:val="BodyText"/>
      </w:pPr>
      <w:r>
        <w:t xml:space="preserve">Individual litigation services followed closely at $241,500 (28.6% of revenue), driven by a 32% increase in client acquisition through community legal clinics established across Caracas neighborhoods. Our dedicated Lawyer team implemented mobile consultation units targeting underserved areas of Venezuela Caracas, resulting in a 41% rise in low-fee cases handled per month. This initiative not only expanded our client base but also strengthened our community presence—vital for trust-building in Venezuela's evolving legal environment.</w:t>
      </w:r>
    </w:p>
    <w:p>
      <w:pPr>
        <w:pStyle w:val="BodyText"/>
      </w:pPr>
      <w:r>
        <w:t xml:space="preserve">Cross-border dispute resolution services generated $116,200 (13.7% of revenue), representing a 9% quarterly increase. This growth was fueled by Venezuela Caracas's growing need for international arbitration support following recent changes to bilateral trade agreements. Our firm's Lawyer specialization in the ICSID framework has positioned us as a go-to resource for foreign investors navigating Venezuelan regulatory complexities.</w:t>
      </w:r>
    </w:p>
    <w:bookmarkEnd w:id="21"/>
    <w:bookmarkStart w:id="22" w:name="X644dc8c3686c5adb2ceafff21880c28583bd26a"/>
    <w:p>
      <w:pPr>
        <w:pStyle w:val="Heading2"/>
      </w:pPr>
      <w:r>
        <w:t xml:space="preserve">MARKET ANALYSIS: VENEZUELA CARACAS CONTEXT</w:t>
      </w:r>
    </w:p>
    <w:p>
      <w:pPr>
        <w:pStyle w:val="FirstParagraph"/>
      </w:pPr>
      <w:r>
        <w:rPr>
          <w:bCs/>
          <w:b/>
        </w:rPr>
        <w:t xml:space="preserve">Key Market Insight:</w:t>
      </w:r>
      <w:r>
        <w:t xml:space="preserve"> </w:t>
      </w:r>
      <w:r>
        <w:t xml:space="preserve">The legal services market in Venezuela Caracas remains highly responsive to economic volatility. Our Sales Report data confirms that during periods of currency devaluation (such as the January 2024 bolívar adjustment), demand for corporate restructuring services spikes by 38%, while individual criminal defense needs increase by 29%. This pattern validates our strategic focus on offering flexible payment structures and multi-currency billing options—a critical differentiator for a Lawyer firm operating in Venezuela's challenging financial ecosystem.</w:t>
      </w:r>
    </w:p>
    <w:p>
      <w:pPr>
        <w:pStyle w:val="BodyText"/>
      </w:pPr>
      <w:r>
        <w:t xml:space="preserve">Competitor analysis within Venezuela Caracas reveals that 68% of local firms fail to offer comprehensive English-language legal services, creating a significant opportunity we've capitalized on. Our Sales Report indicates that 42% of our new clients in Q1 were international businesses requiring Spanish-English bilingual Lawyer support, underscoring the importance of linguistic competency in today's Caracas legal market.</w:t>
      </w:r>
    </w:p>
    <w:bookmarkEnd w:id="22"/>
    <w:bookmarkStart w:id="23" w:name="sales-strategy-effectiveness"/>
    <w:p>
      <w:pPr>
        <w:pStyle w:val="Heading2"/>
      </w:pPr>
      <w:r>
        <w:t xml:space="preserve">SALES STRATEGY EFFECTIVENESS</w:t>
      </w:r>
    </w:p>
    <w:p>
      <w:pPr>
        <w:pStyle w:val="FirstParagraph"/>
      </w:pPr>
      <w:r>
        <w:t xml:space="preserve">The most successful sales initiatives identified in our Sales Report were:</w:t>
      </w:r>
    </w:p>
    <w:p>
      <w:pPr>
        <w:numPr>
          <w:ilvl w:val="0"/>
          <w:numId w:val="1001"/>
        </w:numPr>
        <w:pStyle w:val="Compact"/>
      </w:pPr>
      <w:r>
        <w:rPr>
          <w:bCs/>
          <w:b/>
        </w:rPr>
        <w:t xml:space="preserve">Caracas Community Legal Awareness Campaigns:</w:t>
      </w:r>
      <w:r>
        <w:t xml:space="preserve"> </w:t>
      </w:r>
      <w:r>
        <w:t xml:space="preserve">Monthly workshops conducted by our Lawyer team across 12 Caracas boroughs increased inbound leads by 53% while establishing brand authority in Venezuela's legal community.</w:t>
      </w:r>
    </w:p>
    <w:p>
      <w:pPr>
        <w:numPr>
          <w:ilvl w:val="0"/>
          <w:numId w:val="1001"/>
        </w:numPr>
        <w:pStyle w:val="Compact"/>
      </w:pPr>
      <w:r>
        <w:rPr>
          <w:bCs/>
          <w:b/>
        </w:rPr>
        <w:t xml:space="preserve">Corporate Partnership Program:</w:t>
      </w:r>
      <w:r>
        <w:t xml:space="preserve"> </w:t>
      </w:r>
      <w:r>
        <w:t xml:space="preserve">Strategic alliances with Venezuela Caracas Chamber of Commerce and the Venezuelan Bar Association generated qualified referrals, contributing to 37% of new corporate accounts.</w:t>
      </w:r>
    </w:p>
    <w:p>
      <w:pPr>
        <w:numPr>
          <w:ilvl w:val="0"/>
          <w:numId w:val="1001"/>
        </w:numPr>
        <w:pStyle w:val="Compact"/>
      </w:pPr>
      <w:r>
        <w:rPr>
          <w:bCs/>
          <w:b/>
        </w:rPr>
        <w:t xml:space="preserve">Virtual Consultation Platform:</w:t>
      </w:r>
      <w:r>
        <w:t xml:space="preserve"> </w:t>
      </w:r>
      <w:r>
        <w:t xml:space="preserve">The launch of our secure digital platform (integrated with Venezuela's National Registry System) reduced client acquisition time by 62%—a key factor in securing 28 new international contracts during Q1.</w:t>
      </w:r>
    </w:p>
    <w:bookmarkEnd w:id="23"/>
    <w:bookmarkStart w:id="24" w:name="challenges-and-resolutions"/>
    <w:p>
      <w:pPr>
        <w:pStyle w:val="Heading2"/>
      </w:pPr>
      <w:r>
        <w:t xml:space="preserve">CHALLENGES AND RESOLUTIONS</w:t>
      </w:r>
    </w:p>
    <w:p>
      <w:pPr>
        <w:pStyle w:val="FirstParagraph"/>
      </w:pPr>
      <w:r>
        <w:t xml:space="preserve">The Sales Report acknowledges significant obstacles specific to Venezuela Caracas operations. Currency fluctuations caused 14% of projected revenue to be unrealized through client payment delays. Our response was the implementation of a tiered payment system with monthly installments in USD, which reduced collection issues by 79%. Additionally, bureaucratic delays in court documentation—common across Venezuela's judicial system—were mitigated through our Lawyer team's established relationships with Caracas Circuit Court administrators.</w:t>
      </w:r>
    </w:p>
    <w:p>
      <w:pPr>
        <w:pStyle w:val="BodyText"/>
      </w:pPr>
      <w:r>
        <w:t xml:space="preserve">Another critical challenge was the scarcity of mid-level legal talent in Venezuela Caracas. Our Sales Report notes that 31% of new business opportunities were initially at risk due to staffing constraints. The firm addressed this by partnering with Universidad Central de Venezuela's Law School for a targeted recruitment program, increasing our junior Lawyer pipeline by 45% within the quarter.</w:t>
      </w:r>
    </w:p>
    <w:bookmarkEnd w:id="24"/>
    <w:bookmarkStart w:id="25" w:name="strategic-recommendations-for-q2-2024"/>
    <w:p>
      <w:pPr>
        <w:pStyle w:val="Heading2"/>
      </w:pPr>
      <w:r>
        <w:t xml:space="preserve">STRATEGIC RECOMMENDATIONS FOR Q2 2024</w:t>
      </w:r>
    </w:p>
    <w:p>
      <w:pPr>
        <w:pStyle w:val="FirstParagraph"/>
      </w:pPr>
      <w:r>
        <w:t xml:space="preserve">Based on this Sales Report, we recommend:</w:t>
      </w:r>
    </w:p>
    <w:p>
      <w:pPr>
        <w:numPr>
          <w:ilvl w:val="0"/>
          <w:numId w:val="1002"/>
        </w:numPr>
        <w:pStyle w:val="Compact"/>
      </w:pPr>
      <w:r>
        <w:rPr>
          <w:bCs/>
          <w:b/>
        </w:rPr>
        <w:t xml:space="preserve">Expansion into Specialized Compliance Services:</w:t>
      </w:r>
      <w:r>
        <w:t xml:space="preserve"> </w:t>
      </w:r>
      <w:r>
        <w:t xml:space="preserve">Develop Venezuela Caracas-specific ESG (Environmental, Social, Governance) compliance frameworks to meet growing international investor demands.</w:t>
      </w:r>
    </w:p>
    <w:p>
      <w:pPr>
        <w:numPr>
          <w:ilvl w:val="0"/>
          <w:numId w:val="1002"/>
        </w:numPr>
        <w:pStyle w:val="Compact"/>
      </w:pPr>
      <w:r>
        <w:rPr>
          <w:bCs/>
          <w:b/>
        </w:rPr>
        <w:t xml:space="preserve">Metro-Caracas Legal Hub Network:</w:t>
      </w:r>
      <w:r>
        <w:t xml:space="preserve"> </w:t>
      </w:r>
      <w:r>
        <w:t xml:space="preserve">Establish 3 new neighborhood legal centers in Petare, La Vega, and El Parque—areas with high demand but limited access to professional Lawyer services.</w:t>
      </w:r>
    </w:p>
    <w:p>
      <w:pPr>
        <w:numPr>
          <w:ilvl w:val="0"/>
          <w:numId w:val="1002"/>
        </w:numPr>
        <w:pStyle w:val="Compact"/>
      </w:pPr>
      <w:r>
        <w:rPr>
          <w:bCs/>
          <w:b/>
        </w:rPr>
        <w:t xml:space="preserve">Technology Investment:</w:t>
      </w:r>
      <w:r>
        <w:t xml:space="preserve"> </w:t>
      </w:r>
      <w:r>
        <w:t xml:space="preserve">Allocate $150,000 toward AI-driven contract analysis tools to increase billing efficiency for our Lawyer team across all Venezuela Caracas operations.</w:t>
      </w:r>
    </w:p>
    <w:bookmarkEnd w:id="25"/>
    <w:bookmarkStart w:id="26" w:name="conclusion"/>
    <w:p>
      <w:pPr>
        <w:pStyle w:val="Heading2"/>
      </w:pPr>
      <w:r>
        <w:t xml:space="preserve">CONCLUSION</w:t>
      </w:r>
    </w:p>
    <w:p>
      <w:pPr>
        <w:pStyle w:val="FirstParagraph"/>
      </w:pPr>
      <w:r>
        <w:t xml:space="preserve">This Sales Report confirms that our strategic focus on delivering high-value legal services through adaptable Lawyer solutions has positioned us as a market leader in Venezuela Caracas. The 17.3% revenue growth during Q1 2024—achieved despite macroeconomic headwinds—validates our approach to combining deep local knowledge of Venezuela's legal terrain with international business standards. As the premier firm serving both domestic and global clients in Caracas, we remain committed to driving sales innovation while maintaining the highest ethical standards required of a Lawyer operating within Venezuela's complex jurisdiction.</w:t>
      </w:r>
    </w:p>
    <w:p>
      <w:pPr>
        <w:pStyle w:val="BodyText"/>
      </w:pPr>
      <w:r>
        <w:t xml:space="preserve">Our continued success hinges on our ability to navigate Venezuela Caracas's unique challenges through client-centric service models. The next phase will require doubling down on digital transformation and community engagement—ensuring that every Sales Report reflects not just financial growth, but meaningful contributions to Venezuela's legal ecosystem. As this document concludes, we reaffirm that the right Lawyer in the right Venezuelan city makes all the difference in transforming legal challenges into business opportunities.</w:t>
      </w:r>
    </w:p>
    <w:p>
      <w:pPr>
        <w:pStyle w:val="BodyText"/>
      </w:pPr>
      <w:r>
        <w:t xml:space="preserve">Prepared by: International Legal Solutions Group | Caracas Office | Venezuela</w:t>
      </w:r>
    </w:p>
    <w:p>
      <w:pPr>
        <w:pStyle w:val="BodyText"/>
      </w:pPr>
      <w:r>
        <w:t xml:space="preserve">Date: April 15, 2024 | Confidential - Sales Report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 Legal Services in Caracas, Venezuela</dc:title>
  <dc:creator/>
  <dc:language>en</dc:language>
  <cp:keywords/>
  <dcterms:created xsi:type="dcterms:W3CDTF">2026-07-23T22:59:42Z</dcterms:created>
  <dcterms:modified xsi:type="dcterms:W3CDTF">2026-07-23T22:59:42Z</dcterms:modified>
</cp:coreProperties>
</file>

<file path=docProps/custom.xml><?xml version="1.0" encoding="utf-8"?>
<Properties xmlns="http://schemas.openxmlformats.org/officeDocument/2006/custom-properties" xmlns:vt="http://schemas.openxmlformats.org/officeDocument/2006/docPropsVTypes"/>
</file>