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e5e5778792be80b4c2cb6295e01f29f82d28191"/>
    <w:p>
      <w:pPr>
        <w:pStyle w:val="Heading1"/>
      </w:pPr>
      <w:r>
        <w:t xml:space="preserve">ANNUAL SALES REPORT: LEGAL SERVICES PERFORMANCE IN HO CHI MINH CITY, VIETNAM</w:t>
      </w:r>
    </w:p>
    <w:bookmarkStart w:id="28" w:name="presentation-date-october-26-2023"/>
    <w:p>
      <w:pPr>
        <w:pStyle w:val="Heading2"/>
      </w:pPr>
      <w:r>
        <w:t xml:space="preserve">Presentation Date: October 26, 2023</w:t>
      </w:r>
    </w:p>
    <w:p>
      <w:pPr>
        <w:pStyle w:val="FirstParagraph"/>
      </w:pPr>
      <w:r>
        <w:t xml:space="preserve">Prepared for: International Legal Partners Management Committee</w:t>
      </w:r>
    </w:p>
    <w:bookmarkStart w:id="20" w:name="executive-summary"/>
    <w:p>
      <w:pPr>
        <w:pStyle w:val="Heading3"/>
      </w:pPr>
      <w:r>
        <w:t xml:space="preserve">Executive Summary</w:t>
      </w:r>
    </w:p>
    <w:p>
      <w:pPr>
        <w:pStyle w:val="FirstParagraph"/>
      </w:pPr>
      <w:r>
        <w:t xml:space="preserve">This comprehensive Sales Report details the performance of our legal practice in Vietnam's premier business hub, Ho Chi Minh City (HCMC), across fiscal year 2022-2023. As one of Southeast Asia's most dynamic economic centers, HCMC represents a critical market where our firm has strategically expanded its legal service offerings. The report demonstrates significant growth in client acquisition, case resolution rates, and revenue generation—validating our targeted approach to delivering specialized legal solutions for foreign investors and local enterprises operating within Vietnam Ho Chi Minh City.</w:t>
      </w:r>
    </w:p>
    <w:bookmarkEnd w:id="20"/>
    <w:bookmarkStart w:id="21" w:name="market-context-hcmcs-legal-landscape"/>
    <w:p>
      <w:pPr>
        <w:pStyle w:val="Heading3"/>
      </w:pPr>
      <w:r>
        <w:t xml:space="preserve">Market Context: HCMC's Legal Landscape</w:t>
      </w:r>
    </w:p>
    <w:p>
      <w:pPr>
        <w:pStyle w:val="FirstParagraph"/>
      </w:pPr>
      <w:r>
        <w:t xml:space="preserve">Ho Chi Minh City remains the commercial epicenter of Vietnam, housing 27% of the nation's foreign direct investment (FDI) projects and hosting over 45,000 international businesses. This vibrant ecosystem demands sophisticated legal expertise across commercial disputes, M&amp;A transactions, intellectual property protection, and regulatory compliance. Our firm has positioned itself as a leading</w:t>
      </w:r>
      <w:r>
        <w:t xml:space="preserve"> </w:t>
      </w:r>
      <w:r>
        <w:rPr>
          <w:iCs/>
          <w:i/>
        </w:rPr>
        <w:t xml:space="preserve">Lawyer</w:t>
      </w:r>
      <w:r>
        <w:t xml:space="preserve"> </w:t>
      </w:r>
      <w:r>
        <w:t xml:space="preserve">partner for multinational corporations navigating Vietnam's complex business environment. The HCMC market's 12% annual growth in legal service demand (Vietnam Chamber of Commerce and Industry 2023 Report) directly fueled our sales momentum this fiscal year.</w:t>
      </w:r>
    </w:p>
    <w:bookmarkEnd w:id="21"/>
    <w:bookmarkStart w:id="22" w:name="sales-performance-metrics"/>
    <w:p>
      <w:pPr>
        <w:pStyle w:val="Heading3"/>
      </w:pPr>
      <w:r>
        <w:t xml:space="preserve">Sales Performance Metrics</w:t>
      </w:r>
    </w:p>
    <w:p>
      <w:pPr>
        <w:pStyle w:val="FirstParagraph"/>
      </w:pPr>
      <w:r>
        <w:t xml:space="preserve">Service Category</w:t>
      </w:r>
    </w:p>
    <w:p>
      <w:pPr>
        <w:pStyle w:val="BodyText"/>
      </w:pPr>
      <w:r>
        <w:t xml:space="preserve">2021-2022 (Units)</w:t>
      </w:r>
    </w:p>
    <w:p>
      <w:pPr>
        <w:pStyle w:val="BodyText"/>
      </w:pPr>
      <w:r>
        <w:t xml:space="preserve">2022-2023 (Units)</w:t>
      </w:r>
    </w:p>
    <w:p>
      <w:pPr>
        <w:pStyle w:val="BodyText"/>
      </w:pPr>
      <w:r>
        <w:t xml:space="preserve">YoY Growth</w:t>
      </w:r>
    </w:p>
    <w:p>
      <w:pPr>
        <w:pStyle w:val="BodyText"/>
      </w:pPr>
      <w:r>
        <w:t xml:space="preserve">Commercial Litigation</w:t>
      </w:r>
    </w:p>
    <w:p>
      <w:pPr>
        <w:pStyle w:val="BodyText"/>
      </w:pPr>
      <w:r>
        <w:t xml:space="preserve">48</w:t>
      </w:r>
    </w:p>
    <w:p>
      <w:pPr>
        <w:pStyle w:val="BodyText"/>
      </w:pPr>
      <w:r>
        <w:t xml:space="preserve">73</w:t>
      </w:r>
    </w:p>
    <w:p>
      <w:pPr>
        <w:pStyle w:val="BodyText"/>
      </w:pPr>
      <w:r>
        <w:t xml:space="preserve">+52.1%</w:t>
      </w:r>
    </w:p>
    <w:p>
      <w:pPr>
        <w:pStyle w:val="BodyText"/>
      </w:pPr>
      <w:r>
        <w:t xml:space="preserve">M&amp;A Transactions</w:t>
      </w:r>
    </w:p>
    <w:p>
      <w:pPr>
        <w:pStyle w:val="BodyText"/>
      </w:pPr>
      <w:r>
        <w:t xml:space="preserve">19</w:t>
      </w:r>
    </w:p>
    <w:p>
      <w:pPr>
        <w:pStyle w:val="BodyText"/>
      </w:pPr>
      <w:r>
        <w:t xml:space="preserve">&lt;</w:t>
      </w:r>
    </w:p>
    <w:p>
      <w:pPr>
        <w:pStyle w:val="BodyText"/>
      </w:pPr>
      <w:r>
        <w:t xml:space="preserve">32</w:t>
      </w:r>
    </w:p>
    <w:p>
      <w:pPr>
        <w:pStyle w:val="BodyText"/>
      </w:pPr>
      <w:r>
        <w:rPr>
          <w:bCs/>
          <w:b/>
        </w:rPr>
        <w:t xml:space="preserve">+68.4%</w:t>
      </w:r>
    </w:p>
    <w:p>
      <w:pPr>
        <w:pStyle w:val="BodyText"/>
      </w:pPr>
      <w:r>
        <w:t xml:space="preserve">Intellectual Property Protection</w:t>
      </w:r>
    </w:p>
    <w:p>
      <w:pPr>
        <w:pStyle w:val="BodyText"/>
      </w:pPr>
      <w:r>
        <w:t xml:space="preserve">27</w:t>
      </w:r>
    </w:p>
    <w:p>
      <w:pPr>
        <w:pStyle w:val="BodyText"/>
      </w:pPr>
      <w:r>
        <w:t xml:space="preserve">51</w:t>
      </w:r>
    </w:p>
    <w:p>
      <w:pPr>
        <w:pStyle w:val="BodyText"/>
      </w:pPr>
      <w:r>
        <w:rPr>
          <w:bCs/>
          <w:b/>
        </w:rPr>
        <w:t xml:space="preserve">+88.9%</w:t>
      </w:r>
    </w:p>
    <w:p>
      <w:pPr>
        <w:pStyle w:val="BodyText"/>
      </w:pPr>
      <w:r>
        <w:t xml:space="preserve">Regulatory Compliance</w:t>
      </w:r>
    </w:p>
    <w:p>
      <w:pPr>
        <w:pStyle w:val="BodyText"/>
      </w:pPr>
      <w:r>
        <w:t xml:space="preserve">35</w:t>
      </w:r>
    </w:p>
    <w:p>
      <w:pPr>
        <w:pStyle w:val="BodyText"/>
      </w:pPr>
      <w:r>
        <w:t xml:space="preserve">64</w:t>
      </w:r>
    </w:p>
    <w:p>
      <w:pPr>
        <w:pStyle w:val="BodyText"/>
      </w:pPr>
      <w:r>
        <w:rPr>
          <w:bCs/>
          <w:b/>
        </w:rPr>
        <w:t xml:space="preserve">+82.9%</w:t>
      </w:r>
    </w:p>
    <w:p>
      <w:pPr>
        <w:pStyle w:val="BodyText"/>
      </w:pPr>
      <w:r>
        <w:t xml:space="preserve">The data reveals exceptional growth across all service lines, with Intellectual Property protection demonstrating the most explosive demand—reflecting Vietnam's heightened focus on innovation and digital economy development under Ho Chi Minh City's 2030 Smart City Initiative. Notably, 68% of new clients in HCMC were foreign enterprises entering Vietnam for the first time, requiring specialized</w:t>
      </w:r>
      <w:r>
        <w:t xml:space="preserve"> </w:t>
      </w:r>
      <w:r>
        <w:rPr>
          <w:iCs/>
          <w:i/>
        </w:rPr>
        <w:t xml:space="preserve">Lawyer</w:t>
      </w:r>
      <w:r>
        <w:t xml:space="preserve"> </w:t>
      </w:r>
      <w:r>
        <w:t xml:space="preserve">support to navigate local regulations.</w:t>
      </w:r>
    </w:p>
    <w:bookmarkEnd w:id="22"/>
    <w:bookmarkStart w:id="23" w:name="client-acquisition-strategy-hcmc-focus"/>
    <w:p>
      <w:pPr>
        <w:pStyle w:val="Heading3"/>
      </w:pPr>
      <w:r>
        <w:t xml:space="preserve">Client Acquisition Strategy: HCMC Focus</w:t>
      </w:r>
    </w:p>
    <w:p>
      <w:pPr>
        <w:pStyle w:val="FirstParagraph"/>
      </w:pPr>
      <w:r>
        <w:t xml:space="preserve">We implemented a hyper-localized sales approach targeting Ho Chi Minh City's business ecosystem. Key initiatives included:</w:t>
      </w:r>
    </w:p>
    <w:p>
      <w:pPr>
        <w:numPr>
          <w:ilvl w:val="0"/>
          <w:numId w:val="1001"/>
        </w:numPr>
        <w:pStyle w:val="Compact"/>
      </w:pPr>
      <w:r>
        <w:rPr>
          <w:bCs/>
          <w:b/>
        </w:rPr>
        <w:t xml:space="preserve">Industry-Specific Outreach:</w:t>
      </w:r>
      <w:r>
        <w:t xml:space="preserve"> </w:t>
      </w:r>
      <w:r>
        <w:t xml:space="preserve">Partnering with HCMC Economic Zones (e.g., Thu Duc City, Saigon Hi-Tech Park) to host quarterly legal workshops</w:t>
      </w:r>
    </w:p>
    <w:p>
      <w:pPr>
        <w:numPr>
          <w:ilvl w:val="0"/>
          <w:numId w:val="1001"/>
        </w:numPr>
        <w:pStyle w:val="Compact"/>
      </w:pPr>
      <w:r>
        <w:rPr>
          <w:bCs/>
          <w:b/>
        </w:rPr>
        <w:t xml:space="preserve">Digital Transformation:</w:t>
      </w:r>
      <w:r>
        <w:t xml:space="preserve"> </w:t>
      </w:r>
      <w:r>
        <w:t xml:space="preserve">Launching Vietnamese-language legal consultation portals accessible through popular local platforms (Zalo, Facebook)</w:t>
      </w:r>
    </w:p>
    <w:p>
      <w:pPr>
        <w:numPr>
          <w:ilvl w:val="0"/>
          <w:numId w:val="1001"/>
        </w:numPr>
        <w:pStyle w:val="Compact"/>
      </w:pPr>
      <w:r>
        <w:rPr>
          <w:bCs/>
          <w:b/>
        </w:rPr>
        <w:t xml:space="preserve">Cross-Referencing Network:</w:t>
      </w:r>
      <w:r>
        <w:t xml:space="preserve"> </w:t>
      </w:r>
      <w:r>
        <w:t xml:space="preserve">Collaborating with HCMC Bar Association for certified attorney referrals</w:t>
      </w:r>
    </w:p>
    <w:p>
      <w:pPr>
        <w:pStyle w:val="FirstParagraph"/>
      </w:pPr>
      <w:r>
        <w:t xml:space="preserve">This strategy yielded a 41% increase in qualified leads within Vietnam Ho Chi Minh City—surpassing our annual target by 22 percentage points. Notably, 37% of new clients were secured through referrals from existing HCMC-based enterprises, confirming our reputation as trusted legal advisors in the city's business community.</w:t>
      </w:r>
    </w:p>
    <w:bookmarkEnd w:id="23"/>
    <w:bookmarkStart w:id="24" w:name="client-testimonials-the-human-element"/>
    <w:p>
      <w:pPr>
        <w:pStyle w:val="Heading3"/>
      </w:pPr>
      <w:r>
        <w:t xml:space="preserve">Client Testimonials: The Human Element</w:t>
      </w:r>
    </w:p>
    <w:p>
      <w:pPr>
        <w:pStyle w:val="BlockText"/>
      </w:pPr>
      <w:r>
        <w:t xml:space="preserve">"As a German manufacturing firm expanding into Vietnam Ho Chi Minh City, we required rapid compliance with new labor laws. Our</w:t>
      </w:r>
      <w:r>
        <w:t xml:space="preserve"> </w:t>
      </w:r>
      <w:r>
        <w:rPr>
          <w:iCs/>
          <w:i/>
        </w:rPr>
        <w:t xml:space="preserve">Lawyer</w:t>
      </w:r>
      <w:r>
        <w:t xml:space="preserve"> </w:t>
      </w:r>
      <w:r>
        <w:t xml:space="preserve">team resolved our regulatory hurdles within 18 days—saving us $2.4M in potential penalties. Their HCMC market expertise was invaluable."</w:t>
      </w:r>
      <w:r>
        <w:br/>
      </w:r>
      <w:r>
        <w:rPr>
          <w:bCs/>
          <w:b/>
        </w:rPr>
        <w:t xml:space="preserve">- Maria Schmidt, CEO of Siemens Vietnam (HCMC)</w:t>
      </w:r>
    </w:p>
    <w:p>
      <w:pPr>
        <w:pStyle w:val="BlockText"/>
      </w:pPr>
      <w:r>
        <w:t xml:space="preserve">"The intellectual property case we handled with our HCMC-based legal team prevented a major competitor from infringing on our Saigon-registered trademark. Their local court connections and understanding of Vietnam's IP system were decisive."</w:t>
      </w:r>
      <w:r>
        <w:br/>
      </w:r>
      <w:r>
        <w:rPr>
          <w:bCs/>
          <w:b/>
        </w:rPr>
        <w:t xml:space="preserve">- Nguyen Van Anh, Founder of Saigon Tech Innovations</w:t>
      </w:r>
    </w:p>
    <w:bookmarkEnd w:id="24"/>
    <w:bookmarkStart w:id="25" w:name="challenges-in-the-hcmc-market"/>
    <w:p>
      <w:pPr>
        <w:pStyle w:val="Heading3"/>
      </w:pPr>
      <w:r>
        <w:t xml:space="preserve">Challenges in the HCMC Market</w:t>
      </w:r>
    </w:p>
    <w:p>
      <w:pPr>
        <w:pStyle w:val="FirstParagraph"/>
      </w:pPr>
      <w:r>
        <w:t xml:space="preserve">Operating as a premier legal service provider in Vietnam Ho Chi Minh City presented unique challenges:</w:t>
      </w:r>
    </w:p>
    <w:p>
      <w:pPr>
        <w:numPr>
          <w:ilvl w:val="0"/>
          <w:numId w:val="1002"/>
        </w:numPr>
        <w:pStyle w:val="Compact"/>
      </w:pPr>
      <w:r>
        <w:rPr>
          <w:iCs/>
          <w:i/>
        </w:rPr>
        <w:t xml:space="preserve">Cultural Nuances:</w:t>
      </w:r>
      <w:r>
        <w:t xml:space="preserve"> </w:t>
      </w:r>
      <w:r>
        <w:t xml:space="preserve">Initial client misalignment between Western legal frameworks and Vietnamese business customs required tailored communication strategies</w:t>
      </w:r>
    </w:p>
    <w:p>
      <w:pPr>
        <w:numPr>
          <w:ilvl w:val="0"/>
          <w:numId w:val="1002"/>
        </w:numPr>
        <w:pStyle w:val="Compact"/>
      </w:pPr>
      <w:r>
        <w:rPr>
          <w:iCs/>
          <w:i/>
        </w:rPr>
        <w:t xml:space="preserve">Jurisdictional Complexity:</w:t>
      </w:r>
      <w:r>
        <w:t xml:space="preserve"> </w:t>
      </w:r>
      <w:r>
        <w:t xml:space="preserve">Multiple local government bodies in HCMC (e.g., HCMC People's Committee, Department of Planning) created overlapping regulatory requirements</w:t>
      </w:r>
    </w:p>
    <w:p>
      <w:pPr>
        <w:numPr>
          <w:ilvl w:val="0"/>
          <w:numId w:val="1002"/>
        </w:numPr>
        <w:pStyle w:val="Compact"/>
      </w:pPr>
      <w:r>
        <w:rPr>
          <w:iCs/>
          <w:i/>
        </w:rPr>
        <w:t xml:space="preserve">Talent Retention:</w:t>
      </w:r>
      <w:r>
        <w:t xml:space="preserve"> </w:t>
      </w:r>
      <w:r>
        <w:t xml:space="preserve">Intense competition for bilingual legal professionals with both international credentials and Vietnam market knowledge</w:t>
      </w:r>
    </w:p>
    <w:p>
      <w:pPr>
        <w:pStyle w:val="FirstParagraph"/>
      </w:pPr>
      <w:r>
        <w:t xml:space="preserve">We addressed these through our internal 'HCMC Legal Accelerator Program'—a six-month certification initiative for attorneys focusing exclusively on Vietnam's business environment, which reduced client onboarding time by 37%.</w:t>
      </w:r>
    </w:p>
    <w:bookmarkEnd w:id="25"/>
    <w:bookmarkStart w:id="26" w:name="X0c08e76ec66217894b9782df301e4ca71f3e6c1"/>
    <w:p>
      <w:pPr>
        <w:pStyle w:val="Heading3"/>
      </w:pPr>
      <w:r>
        <w:t xml:space="preserve">Future Sales Strategy for Vietnam Ho Chi Minh City</w:t>
      </w:r>
    </w:p>
    <w:p>
      <w:pPr>
        <w:pStyle w:val="FirstParagraph"/>
      </w:pPr>
      <w:r>
        <w:t xml:space="preserve">Building on our HCMC success, we propose three strategic priorities for FY2024:</w:t>
      </w:r>
    </w:p>
    <w:p>
      <w:pPr>
        <w:numPr>
          <w:ilvl w:val="0"/>
          <w:numId w:val="1003"/>
        </w:numPr>
        <w:pStyle w:val="Compact"/>
      </w:pPr>
      <w:r>
        <w:rPr>
          <w:bCs/>
          <w:b/>
        </w:rPr>
        <w:t xml:space="preserve">Specialized Service Pods:</w:t>
      </w:r>
      <w:r>
        <w:t xml:space="preserve"> </w:t>
      </w:r>
      <w:r>
        <w:t xml:space="preserve">Creating dedicated teams for emerging HCMC sectors (e.g., fintech compliance under Saigon Financial Center regulations, green energy M&amp;A in Thu Duc)</w:t>
      </w:r>
    </w:p>
    <w:p>
      <w:pPr>
        <w:numPr>
          <w:ilvl w:val="0"/>
          <w:numId w:val="1003"/>
        </w:numPr>
        <w:pStyle w:val="Compact"/>
      </w:pPr>
      <w:r>
        <w:rPr>
          <w:bCs/>
          <w:b/>
        </w:rPr>
        <w:t xml:space="preserve">Digital Sales Platform Enhancement:</w:t>
      </w:r>
      <w:r>
        <w:t xml:space="preserve"> </w:t>
      </w:r>
      <w:r>
        <w:t xml:space="preserve">Developing AI-driven case assessment tools integrated with Vietnam's e-Government portal for real-time regulatory updates</w:t>
      </w:r>
    </w:p>
    <w:p>
      <w:pPr>
        <w:numPr>
          <w:ilvl w:val="0"/>
          <w:numId w:val="1003"/>
        </w:numPr>
        <w:pStyle w:val="Compact"/>
      </w:pPr>
      <w:r>
        <w:rPr>
          <w:bCs/>
          <w:b/>
        </w:rPr>
        <w:t xml:space="preserve">Strategic Community Investment:</w:t>
      </w:r>
      <w:r>
        <w:t xml:space="preserve"> </w:t>
      </w:r>
      <w:r>
        <w:t xml:space="preserve">Sponsoring HCMC Business Forum events to deepen market presence beyond transactional relationships</w:t>
      </w:r>
    </w:p>
    <w:p>
      <w:pPr>
        <w:pStyle w:val="FirstParagraph"/>
      </w:pPr>
      <w:r>
        <w:t xml:space="preserve">We project 55% YoY growth in HCMC sales through these initiatives, targeting $3.2M in revenue from Vietnam Ho Chi Minh City operations alone—representing 68% of our total regional revenue.</w:t>
      </w:r>
    </w:p>
    <w:bookmarkEnd w:id="26"/>
    <w:bookmarkStart w:id="27" w:name="conclusion-the-hcmc-imperative"/>
    <w:p>
      <w:pPr>
        <w:pStyle w:val="Heading3"/>
      </w:pPr>
      <w:r>
        <w:t xml:space="preserve">Conclusion: The HCMC Imperative</w:t>
      </w:r>
    </w:p>
    <w:p>
      <w:pPr>
        <w:pStyle w:val="FirstParagraph"/>
      </w:pPr>
      <w:r>
        <w:t xml:space="preserve">As demonstrated in this Sales Report, Vietnam Ho Chi Minh City is not merely a market for our legal services—it is the strategic heart of our Southeast Asia growth. Our consistent 45%+ annual revenue growth from HCMC confirms that specialized, locally attuned</w:t>
      </w:r>
      <w:r>
        <w:t xml:space="preserve"> </w:t>
      </w:r>
      <w:r>
        <w:rPr>
          <w:iCs/>
          <w:i/>
        </w:rPr>
        <w:t xml:space="preserve">Lawyer</w:t>
      </w:r>
      <w:r>
        <w:t xml:space="preserve"> </w:t>
      </w:r>
      <w:r>
        <w:t xml:space="preserve">partnerships are the key to unlocking Vietnam's commercial potential. The city's status as Vietnam's economic engine—projected to contribute 32% of national GDP by 2030—makes our HCMC-focused legal services essential for multinational success.</w:t>
      </w:r>
    </w:p>
    <w:p>
      <w:pPr>
        <w:pStyle w:val="BodyText"/>
      </w:pPr>
      <w:r>
        <w:t xml:space="preserve">This report underscores that our sales strategy is not just about transaction volume; it's about building enduring legal relationships within Ho Chi Minh City's evolving business ecosystem. As Vietnam continues its economic transformation, our firm remains uniquely positioned to deliver the specialized counsel required by businesses operating in this vibrant city. The future of legal services in Vietnam will be written from Ho Chi Minh City, and our firm is leading that narrative.</w:t>
      </w:r>
    </w:p>
    <w:p>
      <w:pPr>
        <w:pStyle w:val="BodyText"/>
      </w:pPr>
      <w:r>
        <w:rPr>
          <w:bCs/>
          <w:b/>
        </w:rPr>
        <w:t xml:space="preserve">Prepared by:</w:t>
      </w:r>
      <w:r>
        <w:t xml:space="preserve"> </w:t>
      </w:r>
      <w:r>
        <w:t xml:space="preserve">International Legal Partners Sales Strategy Department</w:t>
      </w:r>
    </w:p>
    <w:p>
      <w:pPr>
        <w:pStyle w:val="BodyText"/>
      </w:pPr>
      <w:r>
        <w:rPr>
          <w:bCs/>
          <w:b/>
        </w:rPr>
        <w:t xml:space="preserve">Location:</w:t>
      </w:r>
      <w:r>
        <w:t xml:space="preserve"> </w:t>
      </w:r>
      <w:r>
        <w:t xml:space="preserve">Ho Chi Minh City Legal Hub, 123 Nguyen Hue Boulevard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Legal Services in Ho Chi Minh City, Vietnam</dc:title>
  <dc:creator/>
  <dc:language>en</dc:language>
  <cp:keywords/>
  <dcterms:created xsi:type="dcterms:W3CDTF">2026-07-24T14:31:07Z</dcterms:created>
  <dcterms:modified xsi:type="dcterms:W3CDTF">2026-07-24T14:31:07Z</dcterms:modified>
</cp:coreProperties>
</file>

<file path=docProps/custom.xml><?xml version="1.0" encoding="utf-8"?>
<Properties xmlns="http://schemas.openxmlformats.org/officeDocument/2006/custom-properties" xmlns:vt="http://schemas.openxmlformats.org/officeDocument/2006/docPropsVTypes"/>
</file>