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Melbourne</w:t>
      </w:r>
    </w:p>
    <w:bookmarkStart w:id="27" w:name="X22a5d7a943e37f56dad62a41c97714461147769"/>
    <w:p>
      <w:pPr>
        <w:pStyle w:val="Heading1"/>
      </w:pPr>
      <w:r>
        <w:t xml:space="preserve">Librarian Sales Performance Report for Melbourne Public Library System</w:t>
      </w:r>
    </w:p>
    <w:bookmarkStart w:id="26" w:name="Xcdf523f20cdbb2b24c0373d057f850c1c15d5a4"/>
    <w:p>
      <w:pPr>
        <w:pStyle w:val="Heading2"/>
      </w:pPr>
      <w:r>
        <w:t xml:space="preserve">Quarterly Analysis | Australia Melbourne | Q3 2023</w:t>
      </w:r>
    </w:p>
    <w:p>
      <w:pPr>
        <w:pStyle w:val="FirstParagraph"/>
      </w:pPr>
      <w:r>
        <w:t xml:space="preserve">Prepared for the Melbourne Library Network Executive Committee • Date: October 15, 2023</w:t>
      </w:r>
    </w:p>
    <w:bookmarkStart w:id="20" w:name="executive-summary"/>
    <w:p>
      <w:pPr>
        <w:pStyle w:val="Heading3"/>
      </w:pPr>
      <w:r>
        <w:t xml:space="preserve">Executive Summary</w:t>
      </w:r>
    </w:p>
    <w:p>
      <w:pPr>
        <w:pStyle w:val="FirstParagraph"/>
      </w:pPr>
      <w:r>
        <w:t xml:space="preserve">This Sales Report details the performance of library service revenue streams across the Melbourne metropolitan area, highlighting critical achievements and strategic opportunities for Librarian teams. As a cornerstone of community learning in Australia Melbourne, our libraries generated $1.78M in service-based revenue during Q3 2023—a 12.4% year-on-year increase driven by innovative patron engagement strategies led by dedicated Librarians. This report demonstrates how strategic library management directly impacts both community value and financial sustainability within the Australian public library ecosystem.</w:t>
      </w:r>
    </w:p>
    <w:bookmarkEnd w:id="20"/>
    <w:bookmarkStart w:id="21" w:name="key-performance-indicators"/>
    <w:p>
      <w:pPr>
        <w:pStyle w:val="Heading3"/>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Service Revenue (A$)</w:t>
            </w:r>
          </w:p>
        </w:tc>
        <w:tc>
          <w:tcPr/>
          <w:p>
            <w:pPr>
              <w:pStyle w:val="Compact"/>
              <w:jc w:val="left"/>
            </w:pPr>
            <w:r>
              <w:t xml:space="preserve">$1,782,500</w:t>
            </w:r>
          </w:p>
        </w:tc>
        <w:tc>
          <w:tcPr/>
          <w:p>
            <w:pPr>
              <w:pStyle w:val="Compact"/>
              <w:jc w:val="left"/>
            </w:pPr>
            <w:r>
              <w:t xml:space="preserve">$1,586,300</w:t>
            </w:r>
          </w:p>
        </w:tc>
        <w:tc>
          <w:tcPr/>
          <w:p>
            <w:pPr>
              <w:pStyle w:val="Compact"/>
              <w:jc w:val="left"/>
            </w:pPr>
            <w:r>
              <w:t xml:space="preserve">+12.4%</w:t>
            </w:r>
          </w:p>
        </w:tc>
      </w:tr>
      <w:tr>
        <w:tc>
          <w:tcPr/>
          <w:p>
            <w:pPr>
              <w:pStyle w:val="Compact"/>
              <w:jc w:val="left"/>
            </w:pPr>
            <w:r>
              <w:t xml:space="preserve">Program Participation (Sessions)</w:t>
            </w:r>
          </w:p>
        </w:tc>
        <w:tc>
          <w:tcPr/>
          <w:p>
            <w:pPr>
              <w:pStyle w:val="Compact"/>
              <w:jc w:val="left"/>
            </w:pPr>
            <w:r>
              <w:t xml:space="preserve">4,217</w:t>
            </w:r>
          </w:p>
        </w:tc>
        <w:tc>
          <w:tcPr/>
          <w:p>
            <w:pPr>
              <w:pStyle w:val="Compact"/>
              <w:jc w:val="left"/>
            </w:pPr>
            <w:r>
              <w:t xml:space="preserve">3,568</w:t>
            </w:r>
          </w:p>
        </w:tc>
        <w:tc>
          <w:tcPr/>
          <w:p>
            <w:pPr>
              <w:pStyle w:val="Compact"/>
              <w:jc w:val="left"/>
            </w:pPr>
            <w:r>
              <w:t xml:space="preserve">+18.2%</w:t>
            </w:r>
          </w:p>
        </w:tc>
      </w:tr>
      <w:tr>
        <w:tc>
          <w:tcPr/>
          <w:p>
            <w:pPr>
              <w:pStyle w:val="Compact"/>
              <w:jc w:val="left"/>
            </w:pPr>
            <w:r>
              <w:t xml:space="preserve">New Patron Acquisitions</w:t>
            </w:r>
          </w:p>
        </w:tc>
        <w:tc>
          <w:tcPr/>
          <w:p>
            <w:pPr>
              <w:pStyle w:val="Compact"/>
              <w:jc w:val="left"/>
            </w:pPr>
            <w:r>
              <w:t xml:space="preserve">17,420</w:t>
            </w:r>
          </w:p>
        </w:tc>
        <w:tc>
          <w:tcPr/>
          <w:p>
            <w:pPr>
              <w:pStyle w:val="Compact"/>
              <w:jc w:val="left"/>
            </w:pPr>
            <w:r>
              <w:t xml:space="preserve">15,390</w:t>
            </w:r>
          </w:p>
        </w:tc>
        <w:tc>
          <w:tcPr/>
          <w:p>
            <w:pPr>
              <w:pStyle w:val="Compact"/>
              <w:jc w:val="left"/>
            </w:pPr>
            <w:r>
              <w:t xml:space="preserve">+13.2%</w:t>
            </w:r>
          </w:p>
        </w:tc>
      </w:tr>
      <w:tr>
        <w:tc>
          <w:tcPr/>
          <w:p>
            <w:pPr>
              <w:pStyle w:val="Compact"/>
              <w:jc w:val="left"/>
            </w:pPr>
            <w:r>
              <w:t xml:space="preserve">Resource Rental Revenue (e.g., tech kits, event spaces)</w:t>
            </w:r>
          </w:p>
        </w:tc>
        <w:tc>
          <w:tcPr/>
          <w:p>
            <w:pPr>
              <w:pStyle w:val="Compact"/>
              <w:jc w:val="left"/>
            </w:pPr>
            <w:r>
              <w:t xml:space="preserve">$347,200</w:t>
            </w:r>
          </w:p>
        </w:tc>
        <w:tc>
          <w:tcPr/>
          <w:p>
            <w:pPr>
              <w:pStyle w:val="Compact"/>
              <w:jc w:val="left"/>
            </w:pPr>
            <w:r>
              <w:t xml:space="preserve">$298,100</w:t>
            </w:r>
          </w:p>
        </w:tc>
        <w:tc>
          <w:tcPr/>
          <w:p>
            <w:pPr>
              <w:pStyle w:val="Compact"/>
              <w:jc w:val="left"/>
            </w:pPr>
            <w:r>
              <w:t xml:space="preserve">+16.5%</w:t>
            </w:r>
          </w:p>
        </w:tc>
      </w:tr>
    </w:tbl>
    <w:p>
      <w:pPr>
        <w:pStyle w:val="BodyText"/>
      </w:pPr>
      <w:r>
        <w:t xml:space="preserve">The most significant growth driver was the 'Digital Literacy &amp; Career Advancement' initiative, where Librarians across Australia Melbourne implemented tailored workshops for job seekers. This program alone contributed $412,000 in revenue through paid workshops and partnered with local employment services. The success underscores how strategic sales approaches by Librarians directly support Melbourne's economic development goals.</w:t>
      </w:r>
    </w:p>
    <w:bookmarkEnd w:id="21"/>
    <w:bookmarkStart w:id="22" w:name="Xd1ada1d13a294a76a87958c4eec9adb05728b2c"/>
    <w:p>
      <w:pPr>
        <w:pStyle w:val="Heading3"/>
      </w:pPr>
      <w:r>
        <w:t xml:space="preserve">Critical Success Factors in Australia Melbourne</w:t>
      </w:r>
    </w:p>
    <w:p>
      <w:pPr>
        <w:pStyle w:val="FirstParagraph"/>
      </w:pPr>
      <w:r>
        <w:rPr>
          <w:bCs/>
          <w:b/>
        </w:rPr>
        <w:t xml:space="preserve">1. Hyper-Local Community Integration:</w:t>
      </w:r>
      <w:r>
        <w:t xml:space="preserve"> </w:t>
      </w:r>
      <w:r>
        <w:t xml:space="preserve">Librarians in Melbourne's outer suburbs (e.g., Dandenong, Casey) identified unmet needs through community surveys, leading to specialized service bundles. The 'Multilingual Family Literacy Kits' program—offered in 12 languages—generated $87,500 in revenue while supporting Australia's multicultural values.</w:t>
      </w:r>
    </w:p>
    <w:p>
      <w:pPr>
        <w:pStyle w:val="BodyText"/>
      </w:pPr>
      <w:r>
        <w:rPr>
          <w:bCs/>
          <w:b/>
        </w:rPr>
        <w:t xml:space="preserve">2. Data-Driven Patron Engagement:</w:t>
      </w:r>
      <w:r>
        <w:t xml:space="preserve"> </w:t>
      </w:r>
      <w:r>
        <w:t xml:space="preserve">Implementation of the Melbourne Library Analytics Platform (MLAP) allowed Librarians to track service preferences. By analyzing usage patterns, teams successfully upsold 'Premium Research Packages' to 37% of business-focused patrons, increasing average transaction value by 28% compared to standard services.</w:t>
      </w:r>
    </w:p>
    <w:p>
      <w:pPr>
        <w:pStyle w:val="BodyText"/>
      </w:pPr>
      <w:r>
        <w:rPr>
          <w:bCs/>
          <w:b/>
        </w:rPr>
        <w:t xml:space="preserve">3. Strategic Partnerships:</w:t>
      </w:r>
      <w:r>
        <w:t xml:space="preserve"> </w:t>
      </w:r>
      <w:r>
        <w:t xml:space="preserve">Collaborations with Melbourne businesses (e.g., Coles for 'Read-to-Your-Pet' events) and educational institutions created new revenue streams. The University of Melbourne partnership generated $142,000 through specialized academic resource access fees.</w:t>
      </w:r>
    </w:p>
    <w:p>
      <w:pPr>
        <w:pStyle w:val="BodyText"/>
      </w:pPr>
      <w:r>
        <w:rPr>
          <w:bCs/>
          <w:b/>
        </w:rPr>
        <w:t xml:space="preserve">4. Digital Transformation Leadership:</w:t>
      </w:r>
      <w:r>
        <w:t xml:space="preserve"> </w:t>
      </w:r>
      <w:r>
        <w:t xml:space="preserve">Librarians spearheaded the transition to contactless service models, reducing operational costs by 18% while increasing online service adoption. The 'Library on Demand' mobile app now handles 65% of transactions, with Librarians providing personalized virtual consultations that convert to paid services at a 32% rate.</w:t>
      </w:r>
    </w:p>
    <w:bookmarkEnd w:id="22"/>
    <w:bookmarkStart w:id="23" w:name="X8963c61cb2c9a768cf5b5bc9939d206a8ef537c"/>
    <w:p>
      <w:pPr>
        <w:pStyle w:val="Heading3"/>
      </w:pPr>
      <w:r>
        <w:t xml:space="preserve">Challenges Facing Librarians in Australia Melbourne</w:t>
      </w:r>
    </w:p>
    <w:p>
      <w:pPr>
        <w:pStyle w:val="FirstParagraph"/>
      </w:pPr>
      <w:r>
        <w:t xml:space="preserve">Despite strong performance, several challenges require immediate attention to sustain growth in the competitive Australian library landscape:</w:t>
      </w:r>
    </w:p>
    <w:p>
      <w:pPr>
        <w:numPr>
          <w:ilvl w:val="0"/>
          <w:numId w:val="1001"/>
        </w:numPr>
        <w:pStyle w:val="Compact"/>
      </w:pPr>
      <w:r>
        <w:rPr>
          <w:bCs/>
          <w:b/>
        </w:rPr>
        <w:t xml:space="preserve">Funding Pressure:</w:t>
      </w:r>
      <w:r>
        <w:t xml:space="preserve"> </w:t>
      </w:r>
      <w:r>
        <w:t xml:space="preserve">Government grants cover only 62% of operational costs, forcing Librarians to maximize non-traditional revenue. This creates tension between community service and commercialization goals.</w:t>
      </w:r>
    </w:p>
    <w:p>
      <w:pPr>
        <w:numPr>
          <w:ilvl w:val="0"/>
          <w:numId w:val="1001"/>
        </w:numPr>
        <w:pStyle w:val="Compact"/>
      </w:pPr>
      <w:r>
        <w:rPr>
          <w:bCs/>
          <w:b/>
        </w:rPr>
        <w:t xml:space="preserve">Digital Divide:</w:t>
      </w:r>
      <w:r>
        <w:t xml:space="preserve"> </w:t>
      </w:r>
      <w:r>
        <w:t xml:space="preserve">While urban patrons embrace digital services, Melbourne's regional communities (e.g., Gippsland) show 40% lower adoption rates of paid online offerings. Librarians must balance technology access with inclusive service delivery.</w:t>
      </w:r>
    </w:p>
    <w:p>
      <w:pPr>
        <w:numPr>
          <w:ilvl w:val="0"/>
          <w:numId w:val="1001"/>
        </w:numPr>
        <w:pStyle w:val="Compact"/>
      </w:pPr>
      <w:r>
        <w:rPr>
          <w:bCs/>
          <w:b/>
        </w:rPr>
        <w:t xml:space="preserve">Staffing Constraints:</w:t>
      </w:r>
      <w:r>
        <w:t xml:space="preserve"> </w:t>
      </w:r>
      <w:r>
        <w:t xml:space="preserve">Only 58% of library sites have full-time Librarians dedicated to sales-focused roles. This shortage impacts the ability to develop high-value service packages at scale across Australia Melbourne.</w:t>
      </w:r>
    </w:p>
    <w:p>
      <w:pPr>
        <w:pStyle w:val="FirstParagraph"/>
      </w:pPr>
      <w:r>
        <w:t xml:space="preserve">The most critical challenge is maintaining the public library's mission while demonstrating financial viability—requiring Librarians to master both community advocacy and commercial acumen.</w:t>
      </w:r>
    </w:p>
    <w:bookmarkEnd w:id="23"/>
    <w:bookmarkStart w:id="24" w:name="strategic-recommendations-for-melbourne"/>
    <w:p>
      <w:pPr>
        <w:pStyle w:val="Heading3"/>
      </w:pPr>
      <w:r>
        <w:t xml:space="preserve">Strategic Recommendations for Melbourne</w:t>
      </w:r>
    </w:p>
    <w:p>
      <w:pPr>
        <w:pStyle w:val="FirstParagraph"/>
      </w:pPr>
      <w:r>
        <w:t xml:space="preserve">Based on this Sales Report, the following actions will strengthen Librarian-led revenue generation in Australia Melbourne:</w:t>
      </w:r>
    </w:p>
    <w:p>
      <w:pPr>
        <w:numPr>
          <w:ilvl w:val="0"/>
          <w:numId w:val="1002"/>
        </w:numPr>
        <w:pStyle w:val="Compact"/>
      </w:pPr>
      <w:r>
        <w:rPr>
          <w:bCs/>
          <w:b/>
        </w:rPr>
        <w:t xml:space="preserve">Launch 'Career Catalyst' Subscription Model:</w:t>
      </w:r>
      <w:r>
        <w:t xml:space="preserve"> </w:t>
      </w:r>
      <w:r>
        <w:t xml:space="preserve">Develop tiered annual packages for professionals (e.g., $99/year for access to career workshops, resume reviews, and networking events). Piloted in Melbourne CBD libraries, this could generate $350K annually by Q1 2024.</w:t>
      </w:r>
    </w:p>
    <w:p>
      <w:pPr>
        <w:numPr>
          <w:ilvl w:val="0"/>
          <w:numId w:val="1002"/>
        </w:numPr>
        <w:pStyle w:val="Compact"/>
      </w:pPr>
      <w:r>
        <w:rPr>
          <w:bCs/>
          <w:b/>
        </w:rPr>
        <w:t xml:space="preserve">Expand Regional Librarian Sales Training:</w:t>
      </w:r>
      <w:r>
        <w:t xml:space="preserve"> </w:t>
      </w:r>
      <w:r>
        <w:t xml:space="preserve">Allocate funds to certify 50 additional Librarians in commercial service design. Focus on areas with high growth potential like Dandenong and Moreland, where new revenue streams could offset underfunded locations.</w:t>
      </w:r>
    </w:p>
    <w:p>
      <w:pPr>
        <w:numPr>
          <w:ilvl w:val="0"/>
          <w:numId w:val="1002"/>
        </w:numPr>
        <w:pStyle w:val="Compact"/>
      </w:pPr>
      <w:r>
        <w:rPr>
          <w:bCs/>
          <w:b/>
        </w:rPr>
        <w:t xml:space="preserve">Create Melbourne Community Impact Index:</w:t>
      </w:r>
      <w:r>
        <w:t xml:space="preserve"> </w:t>
      </w:r>
      <w:r>
        <w:t xml:space="preserve">Track how service revenue directly correlates with community outcomes (e.g., employment rates, student performance). This metric will strengthen grant applications and demonstrate Librarians' value to Victorian government bodies.</w:t>
      </w:r>
    </w:p>
    <w:p>
      <w:pPr>
        <w:numPr>
          <w:ilvl w:val="0"/>
          <w:numId w:val="1002"/>
        </w:numPr>
        <w:pStyle w:val="Compact"/>
      </w:pPr>
      <w:r>
        <w:rPr>
          <w:bCs/>
          <w:b/>
        </w:rPr>
        <w:t xml:space="preserve">Develop Partnership Framework for Local Businesses:</w:t>
      </w:r>
      <w:r>
        <w:t xml:space="preserve"> </w:t>
      </w:r>
      <w:r>
        <w:t xml:space="preserve">Create standardized contracts allowing Melbourne businesses to sponsor library services (e.g., $5K for 'Tech Hub' naming rights). This replicates successful models from Brisbane City Libraries but tailored for Australia Melbourne's economy.</w:t>
      </w:r>
    </w:p>
    <w:bookmarkEnd w:id="24"/>
    <w:bookmarkStart w:id="25" w:name="X06de0bfc9053b38fd876acd116c0ee4c8437804"/>
    <w:p>
      <w:pPr>
        <w:pStyle w:val="Heading3"/>
      </w:pPr>
      <w:r>
        <w:t xml:space="preserve">Conclusion: The Librarian as Strategic Sales Leader</w:t>
      </w:r>
    </w:p>
    <w:p>
      <w:pPr>
        <w:pStyle w:val="FirstParagraph"/>
      </w:pPr>
      <w:r>
        <w:t xml:space="preserve">This Sales Report confirms that Librarians in Australia Melbourne are evolving beyond traditional custodianship into vital commercial strategists. Their ability to identify community needs, develop revenue-generating services, and foster partnerships directly supports the Victorian government's 'Building a Stronger Melbourne' initiative. As the most trusted public institutions in local communities, our libraries' financial resilience is not just about numbers—it's about sustaining access to knowledge for all Melburnians.</w:t>
      </w:r>
    </w:p>
    <w:p>
      <w:pPr>
        <w:pStyle w:val="BodyText"/>
      </w:pPr>
      <w:r>
        <w:t xml:space="preserve">The 12.4% revenue growth proves that when Librarians are empowered as sales leaders (not just service providers), they deliver measurable value: $3.75 in social impact for every $1 invested in library services, according to the Victorian Public Libraries Council's latest assessment. Moving forward, we must ensure all Librarian roles include sales performance metrics aligned with Melbourne's cultural and economic goals.</w:t>
      </w:r>
    </w:p>
    <w:p>
      <w:pPr>
        <w:pStyle w:val="BodyText"/>
      </w:pPr>
      <w:r>
        <w:t xml:space="preserve">As Melbourne continues its journey toward becoming Australia's most livable city, our library system—guided by skilled Librarians—will remain the indispensable engine for community prosperity. This Sales Report serves as both a celebration of current achievements and a roadmap for future financial leadership across Australia Melbourne.</w:t>
      </w:r>
    </w:p>
    <w:bookmarkEnd w:id="25"/>
    <w:p>
      <w:pPr>
        <w:pStyle w:val="BodyText"/>
      </w:pPr>
      <w:r>
        <w:t xml:space="preserve">Prepared by Melbourne Library Network Strategic Analytics Unit • All figures are reported in Australian Dollars (AUD) | Data Source: MLAP System v3.4</w:t>
      </w:r>
    </w:p>
    <w:p>
      <w:pPr>
        <w:pStyle w:val="BodyText"/>
      </w:pPr>
      <w:r>
        <w:t xml:space="preserve">This document is confidential and intended solely for internal use by Library Executive Committee members.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Australia Melbourne</dc:title>
  <dc:creator/>
  <dc:language>en</dc:language>
  <cp:keywords/>
  <dcterms:created xsi:type="dcterms:W3CDTF">2025-12-10T23:11:41Z</dcterms:created>
  <dcterms:modified xsi:type="dcterms:W3CDTF">2025-12-10T23:11:41Z</dcterms:modified>
</cp:coreProperties>
</file>

<file path=docProps/custom.xml><?xml version="1.0" encoding="utf-8"?>
<Properties xmlns="http://schemas.openxmlformats.org/officeDocument/2006/custom-properties" xmlns:vt="http://schemas.openxmlformats.org/officeDocument/2006/docPropsVTypes"/>
</file>