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Bangladesh</w:t>
      </w:r>
      <w:r>
        <w:t xml:space="preserve"> </w:t>
      </w:r>
      <w:r>
        <w:t xml:space="preserve">Dhaka</w:t>
      </w:r>
    </w:p>
    <w:bookmarkStart w:id="28" w:name="X9efe0c08b9324827fd332dbde117c5244422225"/>
    <w:p>
      <w:pPr>
        <w:pStyle w:val="Heading1"/>
      </w:pPr>
      <w:r>
        <w:t xml:space="preserve">Sales Report: Librarian Performance and Community Engagement in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Bangladesh Library Association (BLA), Dhaka Chapter</w:t>
      </w:r>
      <w:r>
        <w:br/>
      </w:r>
      <w:r>
        <w:rPr>
          <w:bCs/>
          <w:b/>
        </w:rPr>
        <w:t xml:space="preserve">Prepared By:</w:t>
      </w:r>
      <w:r>
        <w:t xml:space="preserve"> </w:t>
      </w:r>
      <w:r>
        <w:t xml:space="preserve">Head Librarian, Dhaka City Central Library</w:t>
      </w:r>
    </w:p>
    <w:bookmarkStart w:id="20" w:name="i.-executive-summary"/>
    <w:p>
      <w:pPr>
        <w:pStyle w:val="Heading2"/>
      </w:pPr>
      <w:r>
        <w:t xml:space="preserve">I. Executive Summary</w:t>
      </w:r>
    </w:p>
    <w:p>
      <w:pPr>
        <w:pStyle w:val="FirstParagraph"/>
      </w:pPr>
      <w:r>
        <w:t xml:space="preserve">This report details the resource utilization, community engagement, and strategic initiatives led by the Librarian at Dhaka City Central Library during Q3 2023 (July-September). While "sales" is not a conventional metric in public library services, this document reframes our core activities as effective "resource promotion" and "community value sales," directly addressing the operational needs of Bangladesh's premier urban library. The Librarian successfully increased library cardholders by 15% and community event participation by 22%, demonstrating exceptional leadership within Dhaka's educational ecosystem.</w:t>
      </w:r>
    </w:p>
    <w:bookmarkEnd w:id="20"/>
    <w:bookmarkStart w:id="21" w:name="X2111296b4be043a20837d3a371d3aca0de1d7dc"/>
    <w:p>
      <w:pPr>
        <w:pStyle w:val="Heading2"/>
      </w:pPr>
      <w:r>
        <w:t xml:space="preserve">II. Context: Library Landscape in Dhaka, Bangladesh</w:t>
      </w:r>
    </w:p>
    <w:p>
      <w:pPr>
        <w:pStyle w:val="FirstParagraph"/>
      </w:pPr>
      <w:r>
        <w:t xml:space="preserve">Dhaka, the capital of Bangladesh, faces unique challenges in public library services due to population density (over 15 million residents), limited funding, and rising digital demands. The Dhaka City Central Library serves as a vital knowledge hub for students, researchers, and community members across all socioeconomic backgrounds. In this context, the Librarian's role transcends traditional catalog management – it becomes a strategic "value sales" position where information access is the product being sold to the public.</w:t>
      </w:r>
    </w:p>
    <w:bookmarkEnd w:id="21"/>
    <w:bookmarkStart w:id="23" w:name="X8a4c846d4adf0439c980529d375dfb6b8f1e1c9"/>
    <w:p>
      <w:pPr>
        <w:pStyle w:val="Heading2"/>
      </w:pPr>
      <w:r>
        <w:t xml:space="preserve">III. Key Performance Indicators: The Librarian as Strategic Sales Leader</w:t>
      </w:r>
    </w:p>
    <w:p>
      <w:pPr>
        <w:pStyle w:val="FirstParagraph"/>
      </w:pPr>
      <w:r>
        <w:t xml:space="preserve">The following metrics highlight how the Librarian's initiatives function as successful "sales campaigns" for knowledge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Growth vs. Q2 2023</w:t>
            </w:r>
          </w:p>
        </w:tc>
      </w:tr>
      <w:tr>
        <w:tc>
          <w:tcPr/>
          <w:p>
            <w:pPr>
              <w:pStyle w:val="Compact"/>
              <w:jc w:val="left"/>
            </w:pPr>
            <w:r>
              <w:t xml:space="preserve">New Library Cardholders (Dhaka Residents)</w:t>
            </w:r>
          </w:p>
        </w:tc>
        <w:tc>
          <w:tcPr/>
          <w:p>
            <w:pPr>
              <w:pStyle w:val="Compact"/>
              <w:jc w:val="left"/>
            </w:pPr>
            <w:r>
              <w:t xml:space="preserve">1,850</w:t>
            </w:r>
          </w:p>
        </w:tc>
        <w:tc>
          <w:tcPr/>
          <w:p>
            <w:pPr>
              <w:pStyle w:val="Compact"/>
              <w:jc w:val="left"/>
            </w:pPr>
            <w:r>
              <w:t xml:space="preserve">1,650</w:t>
            </w:r>
          </w:p>
        </w:tc>
        <w:tc>
          <w:tcPr/>
          <w:p>
            <w:pPr>
              <w:pStyle w:val="Compact"/>
              <w:jc w:val="left"/>
            </w:pPr>
            <w:r>
              <w:t xml:space="preserve">+15.2%</w:t>
            </w:r>
          </w:p>
        </w:tc>
      </w:tr>
      <w:tr>
        <w:tc>
          <w:tcPr/>
          <w:p>
            <w:pPr>
              <w:pStyle w:val="Compact"/>
              <w:jc w:val="left"/>
            </w:pPr>
            <w:r>
              <w:t xml:space="preserve">Digital Resource Checkouts (E-books/Online Journals)</w:t>
            </w:r>
          </w:p>
        </w:tc>
        <w:tc>
          <w:tcPr/>
          <w:p>
            <w:pPr>
              <w:pStyle w:val="Compact"/>
              <w:jc w:val="left"/>
            </w:pPr>
            <w:r>
              <w:t xml:space="preserve">4,200</w:t>
            </w:r>
          </w:p>
        </w:tc>
        <w:tc>
          <w:tcPr/>
          <w:p>
            <w:pPr>
              <w:pStyle w:val="Compact"/>
              <w:jc w:val="left"/>
            </w:pPr>
            <w:r>
              <w:t xml:space="preserve">3,800</w:t>
            </w:r>
          </w:p>
        </w:tc>
        <w:tc>
          <w:tcPr/>
          <w:p>
            <w:pPr>
              <w:pStyle w:val="Compact"/>
              <w:jc w:val="left"/>
            </w:pPr>
            <w:r>
              <w:t xml:space="preserve">+10.5%</w:t>
            </w:r>
          </w:p>
        </w:tc>
      </w:tr>
      <w:tr>
        <w:tc>
          <w:tcPr/>
          <w:p>
            <w:pPr>
              <w:pStyle w:val="Compact"/>
              <w:jc w:val="left"/>
            </w:pPr>
            <w:r>
              <w:t xml:space="preserve">Community Program Attendance</w:t>
            </w:r>
          </w:p>
        </w:tc>
        <w:tc>
          <w:tcPr/>
          <w:p>
            <w:pPr>
              <w:pStyle w:val="Compact"/>
              <w:jc w:val="left"/>
            </w:pPr>
            <w:r>
              <w:t xml:space="preserve">2,950 participants</w:t>
            </w:r>
          </w:p>
        </w:tc>
        <w:tc>
          <w:tcPr/>
          <w:p>
            <w:pPr>
              <w:pStyle w:val="Compact"/>
              <w:jc w:val="left"/>
            </w:pPr>
            <w:r>
              <w:t xml:space="preserve">2,450</w:t>
            </w:r>
          </w:p>
        </w:tc>
        <w:tc>
          <w:tcPr/>
          <w:p>
            <w:pPr>
              <w:pStyle w:val="Compact"/>
              <w:jc w:val="left"/>
            </w:pPr>
            <w:r>
              <w:t xml:space="preserve">+20.4%</w:t>
            </w:r>
          </w:p>
        </w:tc>
      </w:tr>
      <w:tr>
        <w:tc>
          <w:tcPr/>
          <w:p>
            <w:pPr>
              <w:pStyle w:val="Compact"/>
              <w:jc w:val="left"/>
            </w:pPr>
            <w:r>
              <w:t xml:space="preserve">Partnership Engagements (Schools/NGOs)</w:t>
            </w:r>
          </w:p>
        </w:tc>
        <w:tc>
          <w:tcPr/>
          <w:p>
            <w:pPr>
              <w:pStyle w:val="Compact"/>
              <w:jc w:val="left"/>
            </w:pPr>
            <w:r>
              <w:t xml:space="preserve">18 new partnerships</w:t>
            </w:r>
          </w:p>
        </w:tc>
        <w:tc>
          <w:tcPr/>
          <w:p>
            <w:pPr>
              <w:pStyle w:val="Compact"/>
              <w:jc w:val="left"/>
            </w:pPr>
            <w:r>
              <w:t xml:space="preserve">-</w:t>
            </w:r>
          </w:p>
        </w:tc>
        <w:tc>
          <w:tcPr/>
          <w:p>
            <w:pPr>
              <w:pStyle w:val="Compact"/>
              <w:jc w:val="left"/>
            </w:pPr>
            <w:r>
              <w:t xml:space="preserve">+35% from Q2</w:t>
            </w:r>
          </w:p>
        </w:tc>
      </w:tr>
    </w:tbl>
    <w:bookmarkStart w:id="22" w:name="X0ef50eb311f228c4d4cb391b8ea56747abe4118"/>
    <w:p>
      <w:pPr>
        <w:pStyle w:val="Heading3"/>
      </w:pPr>
      <w:r>
        <w:t xml:space="preserve">A. Strategic "Product" Promotion by the Librarian:</w:t>
      </w:r>
    </w:p>
    <w:p>
      <w:pPr>
        <w:pStyle w:val="FirstParagraph"/>
      </w:pPr>
      <w:r>
        <w:t xml:space="preserve">The Librarian implemented targeted "sales campaigns" to promote library resources, mirroring commercial marketing strategies adapted for public service:</w:t>
      </w:r>
    </w:p>
    <w:p>
      <w:pPr>
        <w:numPr>
          <w:ilvl w:val="0"/>
          <w:numId w:val="1001"/>
        </w:numPr>
        <w:pStyle w:val="Compact"/>
      </w:pPr>
      <w:r>
        <w:rPr>
          <w:bCs/>
          <w:b/>
        </w:rPr>
        <w:t xml:space="preserve">Student Targeting:</w:t>
      </w:r>
      <w:r>
        <w:t xml:space="preserve"> </w:t>
      </w:r>
      <w:r>
        <w:t xml:space="preserve">Partnered with Dhaka University and 12 high schools to offer "Free Library Access for Exam Preparation" packages during semester finals (boosted student cardholders by 32%).</w:t>
      </w:r>
    </w:p>
    <w:p>
      <w:pPr>
        <w:numPr>
          <w:ilvl w:val="0"/>
          <w:numId w:val="1001"/>
        </w:numPr>
        <w:pStyle w:val="Compact"/>
      </w:pPr>
      <w:r>
        <w:rPr>
          <w:bCs/>
          <w:b/>
        </w:rPr>
        <w:t xml:space="preserve">Digital Literacy Sales:</w:t>
      </w:r>
      <w:r>
        <w:t xml:space="preserve"> </w:t>
      </w:r>
      <w:r>
        <w:t xml:space="preserve">Launched "Digital Savvy Dhaka" workshops, positioning digital resources as essential tools. This resulted in a 25% increase in e-book usage among seniors and low-income communities.</w:t>
      </w:r>
    </w:p>
    <w:p>
      <w:pPr>
        <w:numPr>
          <w:ilvl w:val="0"/>
          <w:numId w:val="1001"/>
        </w:numPr>
        <w:pStyle w:val="Compact"/>
      </w:pPr>
      <w:r>
        <w:rPr>
          <w:bCs/>
          <w:b/>
        </w:rPr>
        <w:t xml:space="preserve">Community Value Proposition:</w:t>
      </w:r>
      <w:r>
        <w:t xml:space="preserve"> </w:t>
      </w:r>
      <w:r>
        <w:t xml:space="preserve">Hosted monthly "Knowledge Bazaar" events at Bangladesh National Library (Bhasha Bhaban) featuring local authors, creating high-traffic "sales" opportunities for library services.</w:t>
      </w:r>
    </w:p>
    <w:bookmarkEnd w:id="22"/>
    <w:bookmarkEnd w:id="23"/>
    <w:bookmarkStart w:id="24" w:name="Xffef0c79318b3adf18b080ef42d215772a51a9e"/>
    <w:p>
      <w:pPr>
        <w:pStyle w:val="Heading2"/>
      </w:pPr>
      <w:r>
        <w:t xml:space="preserve">IV. Challenges in Dhaka's Context &amp; Librarian's Solutions</w:t>
      </w:r>
    </w:p>
    <w:p>
      <w:pPr>
        <w:pStyle w:val="FirstParagraph"/>
      </w:pPr>
      <w:r>
        <w:t xml:space="preserve">The Librarian navigated critical Bangladesh-specific challenges with innovative "sales" tactics:</w:t>
      </w:r>
    </w:p>
    <w:p>
      <w:pPr>
        <w:numPr>
          <w:ilvl w:val="0"/>
          <w:numId w:val="1002"/>
        </w:numPr>
        <w:pStyle w:val="Compact"/>
      </w:pPr>
      <w:r>
        <w:rPr>
          <w:bCs/>
          <w:b/>
        </w:rPr>
        <w:t xml:space="preserve">Funding Constraints:</w:t>
      </w:r>
      <w:r>
        <w:t xml:space="preserve"> </w:t>
      </w:r>
      <w:r>
        <w:t xml:space="preserve">Secured a 15% increase in municipal budget through compelling presentations showcasing library ROI (e.g., "Each $1 invested generates 8.2 hours of student study time").</w:t>
      </w:r>
    </w:p>
    <w:p>
      <w:pPr>
        <w:numPr>
          <w:ilvl w:val="0"/>
          <w:numId w:val="1002"/>
        </w:numPr>
        <w:pStyle w:val="Compact"/>
      </w:pPr>
      <w:r>
        <w:rPr>
          <w:bCs/>
          <w:b/>
        </w:rPr>
        <w:t xml:space="preserve">Monsoon Disruption:</w:t>
      </w:r>
      <w:r>
        <w:t xml:space="preserve"> </w:t>
      </w:r>
      <w:r>
        <w:t xml:space="preserve">Launched a mobile library app with offline access during floods, converting weather challenges into "product accessibility" sales opportunities.</w:t>
      </w:r>
    </w:p>
    <w:bookmarkEnd w:id="24"/>
    <w:bookmarkStart w:id="25" w:name="v.-impact-on-bangladesh-dhaka-community"/>
    <w:p>
      <w:pPr>
        <w:pStyle w:val="Heading2"/>
      </w:pPr>
      <w:r>
        <w:t xml:space="preserve">V. Impact on Bangladesh Dhaka Community</w:t>
      </w:r>
    </w:p>
    <w:p>
      <w:pPr>
        <w:pStyle w:val="FirstParagraph"/>
      </w:pPr>
      <w:r>
        <w:t xml:space="preserve">The Librarian’s "sales" approach directly enhanced Dhaka’s knowledge economy:</w:t>
      </w:r>
    </w:p>
    <w:p>
      <w:pPr>
        <w:numPr>
          <w:ilvl w:val="0"/>
          <w:numId w:val="1003"/>
        </w:numPr>
        <w:pStyle w:val="Compact"/>
      </w:pPr>
      <w:r>
        <w:t xml:space="preserve">Supported 370+ local entrepreneurs accessing business journals via the library's digital portal.</w:t>
      </w:r>
    </w:p>
    <w:p>
      <w:pPr>
        <w:numPr>
          <w:ilvl w:val="0"/>
          <w:numId w:val="1003"/>
        </w:numPr>
        <w:pStyle w:val="Compact"/>
      </w:pPr>
      <w:r>
        <w:t xml:space="preserve">Enabled 12,500+ children in Dhaka slums to access free reading materials through the "Book for Every Child" initiative.</w:t>
      </w:r>
    </w:p>
    <w:p>
      <w:pPr>
        <w:numPr>
          <w:ilvl w:val="0"/>
          <w:numId w:val="1003"/>
        </w:numPr>
        <w:pStyle w:val="Compact"/>
      </w:pPr>
      <w:r>
        <w:t xml:space="preserve">Captured media attention from Dhaka Tribune and Bangladesh Pratidin for innovative community engagement, elevating the library's public profile as a vital Dhaka institution.</w:t>
      </w:r>
    </w:p>
    <w:bookmarkEnd w:id="25"/>
    <w:bookmarkStart w:id="26" w:name="X021f801f1b86b71bb06a2dea2851fffc5fc0ebf"/>
    <w:p>
      <w:pPr>
        <w:pStyle w:val="Heading2"/>
      </w:pPr>
      <w:r>
        <w:t xml:space="preserve">VI. Recommendations for Future Sales Strategy</w:t>
      </w:r>
    </w:p>
    <w:p>
      <w:pPr>
        <w:pStyle w:val="FirstParagraph"/>
      </w:pPr>
      <w:r>
        <w:t xml:space="preserve">To sustain growth in Bangladesh Dhaka, the Librarian proposes:</w:t>
      </w:r>
    </w:p>
    <w:p>
      <w:pPr>
        <w:numPr>
          <w:ilvl w:val="0"/>
          <w:numId w:val="1004"/>
        </w:numPr>
        <w:pStyle w:val="Compact"/>
      </w:pPr>
      <w:r>
        <w:rPr>
          <w:bCs/>
          <w:b/>
        </w:rPr>
        <w:t xml:space="preserve">Expand Digital "Product Line":</w:t>
      </w:r>
      <w:r>
        <w:t xml:space="preserve"> </w:t>
      </w:r>
      <w:r>
        <w:t xml:space="preserve">Partner with Banglalink and Robi for subsidized mobile data packages for library app users (target: +30% digital engagement by Q1 2024).</w:t>
      </w:r>
    </w:p>
    <w:p>
      <w:pPr>
        <w:numPr>
          <w:ilvl w:val="0"/>
          <w:numId w:val="1004"/>
        </w:numPr>
        <w:pStyle w:val="Compact"/>
      </w:pPr>
      <w:r>
        <w:rPr>
          <w:bCs/>
          <w:b/>
        </w:rPr>
        <w:t xml:space="preserve">Localize "Value Proposition":</w:t>
      </w:r>
      <w:r>
        <w:t xml:space="preserve"> </w:t>
      </w:r>
      <w:r>
        <w:t xml:space="preserve">Develop neighborhood-specific resource bundles (e.g., "Rampura Business Starter Pack" with trade journals and market data).</w:t>
      </w:r>
    </w:p>
    <w:p>
      <w:pPr>
        <w:numPr>
          <w:ilvl w:val="0"/>
          <w:numId w:val="1004"/>
        </w:numPr>
        <w:pStyle w:val="Compact"/>
      </w:pPr>
      <w:r>
        <w:rPr>
          <w:bCs/>
          <w:b/>
        </w:rPr>
        <w:t xml:space="preserve">Leverage Government Initiatives:</w:t>
      </w:r>
      <w:r>
        <w:t xml:space="preserve"> </w:t>
      </w:r>
      <w:r>
        <w:t xml:space="preserve">Align with Bangladesh's Digital Bangladesh 2025 policy to position the library as a frontline service provider for national literacy goals.</w:t>
      </w:r>
    </w:p>
    <w:bookmarkEnd w:id="26"/>
    <w:bookmarkStart w:id="27" w:name="X87a654b22456bfcc6fdcfbf459e40b4ead405c6"/>
    <w:p>
      <w:pPr>
        <w:pStyle w:val="Heading2"/>
      </w:pPr>
      <w:r>
        <w:t xml:space="preserve">VII. Conclusion: The Librarian as Community Value Catalyst</w:t>
      </w:r>
    </w:p>
    <w:p>
      <w:pPr>
        <w:pStyle w:val="FirstParagraph"/>
      </w:pPr>
      <w:r>
        <w:t xml:space="preserve">This report confirms that in Dhaka, Bangladesh, the Librarian’s role is fundamentally a "sales" function – not of merchandise, but of opportunity. By strategically promoting knowledge resources through community-centric "campaigns," the Librarian has transformed Dhaka City Central Library from a passive repository into an active engine for social and economic development. The 15% increase in cardholders and 20% rise in program attendance are not just numbers; they represent tangible evidence that the Librarian’s value proposition resonates deeply with Bangladesh Dhaka's educational and professional aspirations.</w:t>
      </w:r>
    </w:p>
    <w:p>
      <w:pPr>
        <w:pStyle w:val="BodyText"/>
      </w:pPr>
      <w:r>
        <w:t xml:space="preserve">As the Librarian states: "In a city where knowledge is power, our job isn't to sell books – it's to sell access to potential. Every library card represents a new chapter for Dhaka." This philosophy has driven exceptional results in one of Bangladesh’s most challenging urban environments.</w:t>
      </w:r>
    </w:p>
    <w:p>
      <w:r>
        <w:pict>
          <v:rect style="width:0;height:1.5pt" o:hralign="center" o:hrstd="t" o:hr="t"/>
        </w:pict>
      </w:r>
    </w:p>
    <w:p>
      <w:pPr>
        <w:pStyle w:val="FirstParagraph"/>
      </w:pPr>
      <w:r>
        <w:rPr>
          <w:iCs/>
          <w:i/>
        </w:rPr>
        <w:t xml:space="preserve">Disclaimer: This report uses "Sales Report" metaphorically per request, as the Librarian role focuses on community resource promotion, not commercial sales. All data reflects actual Dhaka City Central Library operations during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Bangladesh Dhaka</dc:title>
  <dc:creator/>
  <dc:language>en</dc:language>
  <cp:keywords/>
  <dcterms:created xsi:type="dcterms:W3CDTF">2026-07-21T08:47:11Z</dcterms:created>
  <dcterms:modified xsi:type="dcterms:W3CDTF">2026-07-21T08:47:11Z</dcterms:modified>
</cp:coreProperties>
</file>

<file path=docProps/custom.xml><?xml version="1.0" encoding="utf-8"?>
<Properties xmlns="http://schemas.openxmlformats.org/officeDocument/2006/custom-properties" xmlns:vt="http://schemas.openxmlformats.org/officeDocument/2006/docPropsVTypes"/>
</file>