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w:t>
      </w:r>
      <w:r>
        <w:t xml:space="preserve"> </w:t>
      </w:r>
      <w:r>
        <w:t xml:space="preserve">Q3</w:t>
      </w:r>
      <w:r>
        <w:t xml:space="preserve"> </w:t>
      </w:r>
      <w:r>
        <w:t xml:space="preserve">2023</w:t>
      </w:r>
    </w:p>
    <w:bookmarkStart w:id="31" w:name="Xc64525e75a073e4bf3a4dbba5c1b8559c0f60e2"/>
    <w:p>
      <w:pPr>
        <w:pStyle w:val="Heading1"/>
      </w:pPr>
      <w:r>
        <w:t xml:space="preserve">Sales Report for Library Services: Colombia Bogotá Market Analysis (Q3 2023)</w:t>
      </w:r>
    </w:p>
    <w:bookmarkStart w:id="30" w:name="Xb6c88960cfe44bc28bd1b41df2d9a0a883ad817"/>
    <w:p>
      <w:pPr>
        <w:pStyle w:val="Heading2"/>
      </w:pPr>
      <w:r>
        <w:t xml:space="preserve">Prepared By: Head Librarian, Centro Cultural Bibliotecario de Bogotá</w:t>
      </w:r>
    </w:p>
    <w:p>
      <w:pPr>
        <w:pStyle w:val="FirstParagraph"/>
      </w:pPr>
      <w:r>
        <w:t xml:space="preserve">Date: October 26, 2023</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performance of library-related revenue streams across Colombia Bogotá during the third quarter of 2023. As a pivotal institution serving over 185,000 patrons in one of Latin America's most dynamic urban centers, our Librarian team has strategically navigated economic challenges while expanding access to knowledge. The report demonstrates a remarkable 14.7% year-over-year increase in revenue from library services, totaling COP 287.5 million (approximately USD $63,500) – significantly outperforming Bogotá's municipal cultural sector average of 8.2%. This growth underscores the Librarian team's innovative approach to community engagement and market adaptation in Colombia Bogotá's evolving educational landscape.</w:t>
      </w:r>
    </w:p>
    <w:bookmarkEnd w:id="20"/>
    <w:bookmarkStart w:id="21" w:name="market-context-colombia-bogotá-dynamics"/>
    <w:p>
      <w:pPr>
        <w:pStyle w:val="Heading3"/>
      </w:pPr>
      <w:r>
        <w:t xml:space="preserve">Market Context: Colombia Bogotá Dynamics</w:t>
      </w:r>
    </w:p>
    <w:p>
      <w:pPr>
        <w:pStyle w:val="FirstParagraph"/>
      </w:pPr>
      <w:r>
        <w:t xml:space="preserve">Bogotá remains Colombia's cultural and economic epicenter, home to 7.4 million residents and 12% of the nation's book publishing industry. Our Sales Report analysis reveals three critical market factors influencing Librarian operations:</w:t>
      </w:r>
    </w:p>
    <w:p>
      <w:pPr>
        <w:numPr>
          <w:ilvl w:val="0"/>
          <w:numId w:val="1001"/>
        </w:numPr>
        <w:pStyle w:val="Compact"/>
      </w:pPr>
      <w:r>
        <w:rPr>
          <w:bCs/>
          <w:b/>
        </w:rPr>
        <w:t xml:space="preserve">Economic Shifts:</w:t>
      </w:r>
      <w:r>
        <w:t xml:space="preserve"> </w:t>
      </w:r>
      <w:r>
        <w:t xml:space="preserve">Despite Colombia's 2023 inflation rate of 10.5%, library services remained essential for low-income communities, with membership renewals increasing by 19% as families sought affordable educational resources.</w:t>
      </w:r>
    </w:p>
    <w:p>
      <w:pPr>
        <w:numPr>
          <w:ilvl w:val="0"/>
          <w:numId w:val="1001"/>
        </w:numPr>
        <w:pStyle w:val="Compact"/>
      </w:pPr>
      <w:r>
        <w:rPr>
          <w:bCs/>
          <w:b/>
        </w:rPr>
        <w:t xml:space="preserve">Digital Transformation:</w:t>
      </w:r>
      <w:r>
        <w:t xml:space="preserve"> </w:t>
      </w:r>
      <w:r>
        <w:t xml:space="preserve">Bogotá's "Biblioteca Digital para Todos" initiative drove a 34% surge in e-book rentals, creating cross-sell opportunities for physical collections.</w:t>
      </w:r>
    </w:p>
    <w:p>
      <w:pPr>
        <w:numPr>
          <w:ilvl w:val="0"/>
          <w:numId w:val="1001"/>
        </w:numPr>
        <w:pStyle w:val="Compact"/>
      </w:pPr>
      <w:r>
        <w:rPr>
          <w:bCs/>
          <w:b/>
        </w:rPr>
        <w:t xml:space="preserve">Competitive Landscape:</w:t>
      </w:r>
      <w:r>
        <w:t xml:space="preserve"> </w:t>
      </w:r>
      <w:r>
        <w:t xml:space="preserve">Only 18 municipal libraries serve Bogotá, making our Centro Cultural Bibliotecario the dominant institution with the highest foot traffic (avg. 12,500 daily visitors).</w:t>
      </w:r>
    </w:p>
    <w:bookmarkEnd w:id="21"/>
    <w:bookmarkStart w:id="22" w:name="X85dcd0934e5946d7878d5c0943f19145f377021"/>
    <w:p>
      <w:pPr>
        <w:pStyle w:val="Heading3"/>
      </w:pPr>
      <w:r>
        <w:t xml:space="preserve">Revenue Stream Breakdown: Q3 2023 vs. Q3 2022</w:t>
      </w:r>
    </w:p>
    <w:p>
      <w:pPr>
        <w:pStyle w:val="FirstParagraph"/>
      </w:pPr>
      <w:r>
        <w:t xml:space="preserve">Revenue Source</w:t>
      </w:r>
    </w:p>
    <w:p>
      <w:pPr>
        <w:pStyle w:val="BodyText"/>
      </w:pPr>
      <w:r>
        <w:t xml:space="preserve">Q3 2023 (COP)</w:t>
      </w:r>
    </w:p>
    <w:p>
      <w:pPr>
        <w:pStyle w:val="BodyText"/>
      </w:pPr>
      <w:r>
        <w:t xml:space="preserve">Q3 2022 (COP)</w:t>
      </w:r>
    </w:p>
    <w:p>
      <w:pPr>
        <w:pStyle w:val="BodyText"/>
      </w:pPr>
      <w:r>
        <w:t xml:space="preserve">% Change</w:t>
      </w:r>
    </w:p>
    <w:p>
      <w:pPr>
        <w:pStyle w:val="BodyText"/>
      </w:pPr>
      <w:r>
        <w:t xml:space="preserve">Book Sales (Physical &amp; Digital)</w:t>
      </w:r>
    </w:p>
    <w:p>
      <w:pPr>
        <w:pStyle w:val="BodyText"/>
      </w:pPr>
      <w:r>
        <w:t xml:space="preserve">148,200,000</w:t>
      </w:r>
    </w:p>
    <w:p>
      <w:pPr>
        <w:pStyle w:val="BodyText"/>
      </w:pPr>
      <w:r>
        <w:t xml:space="preserve">119,550,000</w:t>
      </w:r>
    </w:p>
    <w:p>
      <w:pPr>
        <w:pStyle w:val="BodyText"/>
      </w:pPr>
      <w:r>
        <w:t xml:space="preserve">+24.3%</w:t>
      </w:r>
    </w:p>
    <w:p>
      <w:pPr>
        <w:pStyle w:val="BodyText"/>
      </w:pPr>
      <w:r>
        <w:t xml:space="preserve">Membership Renewals &amp; Premium Services</w:t>
      </w:r>
    </w:p>
    <w:p>
      <w:pPr>
        <w:pStyle w:val="BodyText"/>
      </w:pPr>
      <w:r>
        <w:t xml:space="preserve">67,350,698</w:t>
      </w:r>
    </w:p>
    <w:p>
      <w:pPr>
        <w:pStyle w:val="BodyText"/>
      </w:pPr>
      <w:r>
        <w:t xml:space="preserve">62,784,211</w:t>
      </w:r>
    </w:p>
    <w:p>
      <w:pPr>
        <w:pStyle w:val="BodyText"/>
      </w:pPr>
      <w:r>
        <w:t xml:space="preserve">+7.3%</w:t>
      </w:r>
    </w:p>
    <w:p>
      <w:pPr>
        <w:pStyle w:val="BodyText"/>
      </w:pPr>
      <w:r>
        <w:t xml:space="preserve">Educational Workshops &amp; Events (Corporate Partnerships)</w:t>
      </w:r>
    </w:p>
    <w:p>
      <w:pPr>
        <w:pStyle w:val="BodyText"/>
      </w:pPr>
      <w:r>
        <w:t xml:space="preserve">45,120,00035,890,456</w:t>
      </w:r>
    </w:p>
    <w:p>
      <w:pPr>
        <w:pStyle w:val="BodyText"/>
      </w:pPr>
      <w:r>
        <w:t xml:space="preserve">Specialized Research Collections Licensing</w:t>
      </w:r>
    </w:p>
    <w:p>
      <w:pPr>
        <w:pStyle w:val="BodyText"/>
      </w:pPr>
      <w:r>
        <w:t xml:space="preserve">26,834,577</w:t>
      </w:r>
    </w:p>
    <w:p>
      <w:pPr>
        <w:pStyle w:val="BodyText"/>
      </w:pPr>
      <w:r>
        <w:t xml:space="preserve">21,975,321</w:t>
      </w:r>
    </w:p>
    <w:p>
      <w:pPr>
        <w:pStyle w:val="BodyText"/>
      </w:pPr>
      <w:r>
        <w:t xml:space="preserve">+22.1%</w:t>
      </w:r>
    </w:p>
    <w:p>
      <w:pPr>
        <w:pStyle w:val="BodyText"/>
      </w:pPr>
      <w:r>
        <w:t xml:space="preserve">Total Revenue</w:t>
      </w:r>
    </w:p>
    <w:p>
      <w:pPr>
        <w:pStyle w:val="BodyText"/>
      </w:pPr>
      <w:r>
        <w:t xml:space="preserve">287,505,275</w:t>
      </w:r>
    </w:p>
    <w:p>
      <w:pPr>
        <w:pStyle w:val="BodyText"/>
      </w:pPr>
      <w:r>
        <w:t xml:space="preserve">239,400,088</w:t>
      </w:r>
    </w:p>
    <w:p>
      <w:pPr>
        <w:pStyle w:val="BodyText"/>
      </w:pPr>
      <w:r>
        <w:t xml:space="preserve">+14.7%</w:t>
      </w:r>
    </w:p>
    <w:bookmarkEnd w:id="22"/>
    <w:bookmarkStart w:id="26" w:name="Xa854945e5172b26c3506521615cf4410f456027"/>
    <w:p>
      <w:pPr>
        <w:pStyle w:val="Heading3"/>
      </w:pPr>
      <w:r>
        <w:t xml:space="preserve">In-Depth Analysis: Librarian-Driven Growth Strategies</w:t>
      </w:r>
    </w:p>
    <w:p>
      <w:pPr>
        <w:pStyle w:val="FirstParagraph"/>
      </w:pPr>
      <w:r>
        <w:t xml:space="preserve">The Librarian team's success stems from three market-specific initiatives implemented in Colombia Bogotá:</w:t>
      </w:r>
    </w:p>
    <w:bookmarkStart w:id="23" w:name="community-centric-acquisition-policy"/>
    <w:p>
      <w:pPr>
        <w:pStyle w:val="Heading4"/>
      </w:pPr>
      <w:r>
        <w:t xml:space="preserve">1. Community-Centric Acquisition Policy</w:t>
      </w:r>
    </w:p>
    <w:p>
      <w:pPr>
        <w:pStyle w:val="FirstParagraph"/>
      </w:pPr>
      <w:r>
        <w:t xml:space="preserve">Our Librarians conducted neighborhood surveys across 22 communes in Bogotá, identifying underserved areas like Soacha and La Candelaria. This data-driven approach increased sales of local author collections by 38% – particularly for Colombian authors addressing social issues (e.g., Gabriel García Márquez's "Cien Años de Soledad" sold 2,150 copies in Q3). The Librarian team now partners with Bogotá's Secretaría de Cultura to co-curate monthly "Barrio Books" collections.</w:t>
      </w:r>
    </w:p>
    <w:bookmarkEnd w:id="23"/>
    <w:bookmarkStart w:id="24" w:name="digital-physical-hybrid-model"/>
    <w:p>
      <w:pPr>
        <w:pStyle w:val="Heading4"/>
      </w:pPr>
      <w:r>
        <w:t xml:space="preserve">2. Digital-Physical Hybrid Model</w:t>
      </w:r>
    </w:p>
    <w:p>
      <w:pPr>
        <w:pStyle w:val="FirstParagraph"/>
      </w:pPr>
      <w:r>
        <w:t xml:space="preserve">Addressing Bogotá's 67% internet penetration rate, Librarians developed a QR-code system linking physical books to digital supplements. This initiative increased average transaction value by 22% – customers purchasing physical textbooks (e.g., medical or engineering texts) were 4x more likely to buy the companion e-books. The sales data confirms this model generated COP 35.7 million in additional revenue during Q3.</w:t>
      </w:r>
    </w:p>
    <w:bookmarkEnd w:id="24"/>
    <w:bookmarkStart w:id="25" w:name="corporate-partnership-expansion"/>
    <w:p>
      <w:pPr>
        <w:pStyle w:val="Heading4"/>
      </w:pPr>
      <w:r>
        <w:t xml:space="preserve">3. Corporate Partnership Expansion</w:t>
      </w:r>
    </w:p>
    <w:p>
      <w:pPr>
        <w:pStyle w:val="FirstParagraph"/>
      </w:pPr>
      <w:r>
        <w:t xml:space="preserve">Librarians secured partnerships with Bogotá-based multinational firms (including Bancolombia and Avianca) to sponsor "Career Development Kits" – curated book packages for employees. These corporate sales grew 56% year-over-year, totaling COP 18.3 million in Q3 alone. This strategy directly aligns with Colombia's government initiative promoting business-education collaboration in Bogotá.</w:t>
      </w:r>
    </w:p>
    <w:bookmarkEnd w:id="25"/>
    <w:bookmarkEnd w:id="26"/>
    <w:bookmarkStart w:id="27" w:name="X387d86e87daf7a0854266b2555ca180e724cf77"/>
    <w:p>
      <w:pPr>
        <w:pStyle w:val="Heading3"/>
      </w:pPr>
      <w:r>
        <w:t xml:space="preserve">Challenges Faced in Colombia Bogotá Market</w:t>
      </w:r>
    </w:p>
    <w:p>
      <w:pPr>
        <w:pStyle w:val="FirstParagraph"/>
      </w:pPr>
      <w:r>
        <w:t xml:space="preserve">The Librarian report identifies three persistent challenges requiring strategic attention:</w:t>
      </w:r>
    </w:p>
    <w:p>
      <w:pPr>
        <w:numPr>
          <w:ilvl w:val="0"/>
          <w:numId w:val="1002"/>
        </w:numPr>
        <w:pStyle w:val="Compact"/>
      </w:pPr>
      <w:r>
        <w:rPr>
          <w:bCs/>
          <w:b/>
        </w:rPr>
        <w:t xml:space="preserve">Infrastructure Limitations:</w:t>
      </w:r>
      <w:r>
        <w:t xml:space="preserve"> </w:t>
      </w:r>
      <w:r>
        <w:t xml:space="preserve">Only 42% of Bogotá communes have library access within a 15-minute walk, limiting sales in peripheral areas like Ciudad Bolívar. The Librarian team is piloting mobile library kiosks for these zones.</w:t>
      </w:r>
    </w:p>
    <w:p>
      <w:pPr>
        <w:numPr>
          <w:ilvl w:val="0"/>
          <w:numId w:val="1002"/>
        </w:numPr>
        <w:pStyle w:val="Compact"/>
      </w:pPr>
      <w:r>
        <w:rPr>
          <w:bCs/>
          <w:b/>
        </w:rPr>
        <w:t xml:space="preserve">Piracy Impact:</w:t>
      </w:r>
      <w:r>
        <w:t xml:space="preserve"> </w:t>
      </w:r>
      <w:r>
        <w:t xml:space="preserve">Colombia's 30% book piracy rate eroded potential sales by COP 21.4 million quarterly. Our Librarians countered this through free "Literary Safeguard" workshops teaching legal purchasing.</w:t>
      </w:r>
    </w:p>
    <w:bookmarkEnd w:id="27"/>
    <w:bookmarkStart w:id="28" w:name="future-outlook-strategic-recommendations"/>
    <w:p>
      <w:pPr>
        <w:pStyle w:val="Heading3"/>
      </w:pPr>
      <w:r>
        <w:t xml:space="preserve">Future Outlook &amp; Strategic Recommendations</w:t>
      </w:r>
    </w:p>
    <w:p>
      <w:pPr>
        <w:pStyle w:val="FirstParagraph"/>
      </w:pPr>
      <w:r>
        <w:t xml:space="preserve">Based on Q3 performance, our Librarian team recommends three priority actions for Colombia Bogotá:</w:t>
      </w:r>
    </w:p>
    <w:p>
      <w:pPr>
        <w:numPr>
          <w:ilvl w:val="0"/>
          <w:numId w:val="1003"/>
        </w:numPr>
        <w:pStyle w:val="Compact"/>
      </w:pPr>
      <w:r>
        <w:rPr>
          <w:bCs/>
          <w:b/>
        </w:rPr>
        <w:t xml:space="preserve">Expand "Biblioteca Móvil" Program:</w:t>
      </w:r>
      <w:r>
        <w:t xml:space="preserve"> </w:t>
      </w:r>
      <w:r>
        <w:t xml:space="preserve">Deploy 5 more bookmobiles serving 10 underserved communes by Q2 2024, targeting a projected COP 45 million revenue increase from new patron acquisition.</w:t>
      </w:r>
    </w:p>
    <w:p>
      <w:pPr>
        <w:numPr>
          <w:ilvl w:val="0"/>
          <w:numId w:val="1003"/>
        </w:numPr>
        <w:pStyle w:val="Compact"/>
      </w:pPr>
      <w:r>
        <w:rPr>
          <w:bCs/>
          <w:b/>
        </w:rPr>
        <w:t xml:space="preserve">Leverage Bogotá's Digital Infrastructure:</w:t>
      </w:r>
      <w:r>
        <w:t xml:space="preserve"> </w:t>
      </w:r>
      <w:r>
        <w:t xml:space="preserve">Partner with the city's "Bogotá Digital" initiative to integrate library sales into the official municipal app, expecting a 30% uplift in e-commerce transactions.</w:t>
      </w:r>
    </w:p>
    <w:p>
      <w:pPr>
        <w:numPr>
          <w:ilvl w:val="0"/>
          <w:numId w:val="1003"/>
        </w:numPr>
        <w:pStyle w:val="Compact"/>
      </w:pPr>
      <w:r>
        <w:rPr>
          <w:bCs/>
          <w:b/>
        </w:rPr>
        <w:t xml:space="preserve">Develop Colombia-Specific Content Hub:</w:t>
      </w:r>
      <w:r>
        <w:t xml:space="preserve"> </w:t>
      </w:r>
      <w:r>
        <w:t xml:space="preserve">Create a curated digital archive of Colombian history and science resources for schools, targeting 25 new institutional contracts at COP 15 million each annually.</w:t>
      </w:r>
    </w:p>
    <w:bookmarkEnd w:id="28"/>
    <w:bookmarkStart w:id="29" w:name="X58ec430509fee39d9be904137ecbd5e516c272f"/>
    <w:p>
      <w:pPr>
        <w:pStyle w:val="Heading3"/>
      </w:pPr>
      <w:r>
        <w:t xml:space="preserve">Conclusion: The Librarian as Market Catalyst</w:t>
      </w:r>
    </w:p>
    <w:p>
      <w:pPr>
        <w:pStyle w:val="FirstParagraph"/>
      </w:pPr>
      <w:r>
        <w:t xml:space="preserve">This Sales Report confirms that the Librarian role in Colombia Bogotá has evolved beyond traditional book management into strategic market development. By deeply understanding local economic conditions, cultural needs, and digital trends in Bogotá, our Library team achieved revenue growth while fulfilling its social mandate to make knowledge accessible. The 14.7% sales increase – achieved amid Colombia's challenging economic climate – demonstrates that when Librarians adopt data-driven community engagement strategies tailored to Bogotá's unique ecosystem, they become indispensable catalysts for both educational advancement and sustainable local commerce.</w:t>
      </w:r>
    </w:p>
    <w:p>
      <w:pPr>
        <w:pStyle w:val="BodyText"/>
      </w:pPr>
      <w:r>
        <w:t xml:space="preserve">As Bogotá continues to grow as a regional knowledge hub, the Librarian team remains committed to innovating revenue models that serve Colombia's most vulnerable communities while strengthening the city's cultural economy. This Sales Report marks not just a financial milestone, but a testament to how strategic library leadership can transform civic infrastructure into an engine for equitable growth in Colombia Bogotá.</w:t>
      </w:r>
    </w:p>
    <w:p>
      <w:r>
        <w:pict>
          <v:rect style="width:0;height:1.5pt" o:hralign="center" o:hrstd="t" o:hr="t"/>
        </w:pict>
      </w:r>
    </w:p>
    <w:p>
      <w:pPr>
        <w:pStyle w:val="FirstParagraph"/>
      </w:pPr>
      <w:r>
        <w:rPr>
          <w:bCs/>
          <w:b/>
        </w:rPr>
        <w:t xml:space="preserve">Appendix: Key Performance Indicators</w:t>
      </w:r>
    </w:p>
    <w:p>
      <w:pPr>
        <w:numPr>
          <w:ilvl w:val="0"/>
          <w:numId w:val="1004"/>
        </w:numPr>
        <w:pStyle w:val="Compact"/>
      </w:pPr>
      <w:r>
        <w:t xml:space="preserve">Total Patrons Served: 185,274</w:t>
      </w:r>
    </w:p>
    <w:p>
      <w:pPr>
        <w:numPr>
          <w:ilvl w:val="0"/>
          <w:numId w:val="1004"/>
        </w:numPr>
        <w:pStyle w:val="Compact"/>
      </w:pPr>
      <w:r>
        <w:t xml:space="preserve">Avg. Revenue Per Transaction: COP 32,400 (vs. COP 28,900 in Q3 2022)</w:t>
      </w:r>
    </w:p>
    <w:p>
      <w:pPr>
        <w:numPr>
          <w:ilvl w:val="0"/>
          <w:numId w:val="1004"/>
        </w:numPr>
        <w:pStyle w:val="Compact"/>
      </w:pPr>
      <w:r>
        <w:t xml:space="preserve">Top Selling Category: Colombian Children's Literature (+41% YoY)</w:t>
      </w:r>
    </w:p>
    <w:p>
      <w:pPr>
        <w:numPr>
          <w:ilvl w:val="0"/>
          <w:numId w:val="1004"/>
        </w:numPr>
        <w:pStyle w:val="Compact"/>
      </w:pPr>
      <w:r>
        <w:t xml:space="preserve">Customer Satisfaction Rate: 96.7% (up from 89.5% in Q3 2022)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Colombia Bogotá - Q3 2023</dc:title>
  <dc:creator/>
  <dc:language>en</dc:language>
  <cp:keywords/>
  <dcterms:created xsi:type="dcterms:W3CDTF">2026-07-21T08:47:36Z</dcterms:created>
  <dcterms:modified xsi:type="dcterms:W3CDTF">2026-07-21T08:47:36Z</dcterms:modified>
</cp:coreProperties>
</file>

<file path=docProps/custom.xml><?xml version="1.0" encoding="utf-8"?>
<Properties xmlns="http://schemas.openxmlformats.org/officeDocument/2006/custom-properties" xmlns:vt="http://schemas.openxmlformats.org/officeDocument/2006/docPropsVTypes"/>
</file>