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Library</w:t>
      </w:r>
      <w:r>
        <w:t xml:space="preserve"> </w:t>
      </w:r>
      <w:r>
        <w:t xml:space="preserve">Services</w:t>
      </w:r>
      <w:r>
        <w:t xml:space="preserve"> </w:t>
      </w:r>
      <w:r>
        <w:t xml:space="preserve">Performance</w:t>
      </w:r>
      <w:r>
        <w:t xml:space="preserve"> </w:t>
      </w:r>
      <w:r>
        <w:t xml:space="preserve">-</w:t>
      </w:r>
      <w:r>
        <w:t xml:space="preserve"> </w:t>
      </w:r>
      <w:r>
        <w:t xml:space="preserve">Berlin,</w:t>
      </w:r>
      <w:r>
        <w:t xml:space="preserve"> </w:t>
      </w:r>
      <w:r>
        <w:t xml:space="preserve">Germany</w:t>
      </w:r>
    </w:p>
    <w:bookmarkStart w:id="28" w:name="Xa88899b892209797b87dcec3a7b13fe11a3589e"/>
    <w:p>
      <w:pPr>
        <w:pStyle w:val="Heading1"/>
      </w:pPr>
      <w:r>
        <w:t xml:space="preserve">Quarterly Sales Report: Comprehensive Library Services Performance Analysis for Berlin, Germany</w:t>
      </w:r>
    </w:p>
    <w:p>
      <w:pPr>
        <w:pStyle w:val="FirstParagraph"/>
      </w:pPr>
      <w:r>
        <w:rPr>
          <w:bCs/>
          <w:b/>
        </w:rPr>
        <w:t xml:space="preserve">Prepared For:</w:t>
      </w:r>
      <w:r>
        <w:t xml:space="preserve"> </w:t>
      </w:r>
      <w:r>
        <w:t xml:space="preserve">Berlin City Department of Culture &amp; Education</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 2023)</w:t>
      </w:r>
      <w:r>
        <w:br/>
      </w:r>
      <w:r>
        <w:rPr>
          <w:bCs/>
          <w:b/>
        </w:rPr>
        <w:t xml:space="preserve">Prepared By:</w:t>
      </w:r>
      <w:r>
        <w:t xml:space="preserve"> </w:t>
      </w:r>
      <w:r>
        <w:t xml:space="preserve">Berlin Public Library Network Strategic Analytics Division</w:t>
      </w:r>
    </w:p>
    <w:bookmarkStart w:id="20" w:name="Xe41d25a612123cf300fa9f99a554b5054019e67"/>
    <w:p>
      <w:pPr>
        <w:pStyle w:val="Heading2"/>
      </w:pPr>
      <w:r>
        <w:t xml:space="preserve">Executive Summary: The Value Proposition of Librarian Services in Berlin's Cultural Ecosystem</w:t>
      </w:r>
    </w:p>
    <w:p>
      <w:pPr>
        <w:pStyle w:val="FirstParagraph"/>
      </w:pPr>
      <w:r>
        <w:t xml:space="preserve">This Quarterly Sales Report presents a comprehensive analysis of user engagement, resource utilization, and community impact metrics for the Berlin Public Library System. While traditional sales frameworks do not directly apply to non-commercial public services, this document utilizes "sales" as a metaphor for</w:t>
      </w:r>
      <w:r>
        <w:t xml:space="preserve"> </w:t>
      </w:r>
      <w:r>
        <w:rPr>
          <w:iCs/>
          <w:i/>
        </w:rPr>
        <w:t xml:space="preserve">service delivery volume and user conversion</w:t>
      </w:r>
      <w:r>
        <w:t xml:space="preserve">—tracking how effectively Librarian staff transform library resources into meaningful community outcomes across Germany's capital. The report confirms that Berlin's Librarian professionals are driving unprecedented engagement, with key performance indicators (KPIs) showing a 12.7% year-over-year increase in service adoption across all branches.</w:t>
      </w:r>
    </w:p>
    <w:bookmarkEnd w:id="20"/>
    <w:bookmarkStart w:id="21" w:name="market-context-berlins-library-landscape"/>
    <w:p>
      <w:pPr>
        <w:pStyle w:val="Heading2"/>
      </w:pPr>
      <w:r>
        <w:t xml:space="preserve">Market Context: Berlin's Library Landscape</w:t>
      </w:r>
    </w:p>
    <w:p>
      <w:pPr>
        <w:pStyle w:val="FirstParagraph"/>
      </w:pPr>
      <w:r>
        <w:t xml:space="preserve">As Germany's cultural capital, Berlin houses over 50 public libraries administered by the Berlin Senate Department for Culture and Social Cohesion. The Librarian workforce—comprising 850+ certified professionals across municipal branches—operates within a unique ecosystem where digital access equity, multilingual support (27 languages offered), and social inclusion are core service pillars. Unlike commercial sales environments, our "product" is free knowledge access; thus, our "sales" metrics reflect</w:t>
      </w:r>
      <w:r>
        <w:t xml:space="preserve"> </w:t>
      </w:r>
      <w:r>
        <w:rPr>
          <w:bCs/>
          <w:b/>
        </w:rPr>
        <w:t xml:space="preserve">user acquisition</w:t>
      </w:r>
      <w:r>
        <w:t xml:space="preserve">,</w:t>
      </w:r>
      <w:r>
        <w:t xml:space="preserve"> </w:t>
      </w:r>
      <w:r>
        <w:rPr>
          <w:bCs/>
          <w:b/>
        </w:rPr>
        <w:t xml:space="preserve">service retention</w:t>
      </w:r>
      <w:r>
        <w:t xml:space="preserve">, and</w:t>
      </w:r>
      <w:r>
        <w:t xml:space="preserve"> </w:t>
      </w:r>
      <w:r>
        <w:rPr>
          <w:bCs/>
          <w:b/>
        </w:rPr>
        <w:t xml:space="preserve">community impact</w:t>
      </w:r>
      <w:r>
        <w:t xml:space="preserve">.</w:t>
      </w:r>
    </w:p>
    <w:p>
      <w:pPr>
        <w:pStyle w:val="BodyText"/>
      </w:pPr>
      <w:r>
        <w:t xml:space="preserve">In Q3 2023, Berlin's Librarian network served 1.84 million visitors—a 9.2% increase from Q3 2022—demonstrating exceptional community trust during a period of economic volatility in Germany. This growth is directly attributed to strategic initiatives by Berlin Librarians, including the "Bibliothek ohne Grenzen" (Library Without Borders) program, which expanded outreach to immigrant communities and remote neighborhoods.</w:t>
      </w:r>
    </w:p>
    <w:bookmarkEnd w:id="21"/>
    <w:bookmarkStart w:id="22" w:name="X9b5228af4bc58c018c7b2417b5841cf1a589335"/>
    <w:p>
      <w:pPr>
        <w:pStyle w:val="Heading2"/>
      </w:pPr>
      <w:r>
        <w:t xml:space="preserve">Key Performance Indicators: Service Delivery as Sales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Visits (All Branches)</w:t>
            </w:r>
          </w:p>
        </w:tc>
        <w:tc>
          <w:tcPr/>
          <w:p>
            <w:pPr>
              <w:pStyle w:val="Compact"/>
              <w:jc w:val="left"/>
            </w:pPr>
            <w:r>
              <w:t xml:space="preserve">1,841,500</w:t>
            </w:r>
          </w:p>
        </w:tc>
        <w:tc>
          <w:tcPr/>
          <w:p>
            <w:pPr>
              <w:pStyle w:val="Compact"/>
              <w:jc w:val="left"/>
            </w:pPr>
            <w:r>
              <w:t xml:space="preserve">1,685,700</w:t>
            </w:r>
          </w:p>
        </w:tc>
        <w:tc>
          <w:tcPr/>
          <w:p>
            <w:pPr>
              <w:pStyle w:val="Compact"/>
              <w:jc w:val="left"/>
            </w:pPr>
            <w:r>
              <w:t xml:space="preserve">+9.2%</w:t>
            </w:r>
          </w:p>
        </w:tc>
      </w:tr>
      <w:tr>
        <w:tc>
          <w:tcPr/>
          <w:p>
            <w:pPr>
              <w:pStyle w:val="Compact"/>
              <w:jc w:val="left"/>
            </w:pPr>
            <w:r>
              <w:t xml:space="preserve">Book Circulation (Physical/Digital)</w:t>
            </w:r>
          </w:p>
        </w:tc>
        <w:tc>
          <w:tcPr/>
          <w:p>
            <w:pPr>
              <w:pStyle w:val="Compact"/>
              <w:jc w:val="left"/>
            </w:pPr>
            <w:r>
              <w:t xml:space="preserve">2.38M items</w:t>
            </w:r>
          </w:p>
        </w:tc>
        <w:tc>
          <w:tcPr/>
          <w:p>
            <w:pPr>
              <w:pStyle w:val="Compact"/>
              <w:jc w:val="left"/>
            </w:pPr>
            <w:r>
              <w:t xml:space="preserve">2.14M items</w:t>
            </w:r>
          </w:p>
        </w:tc>
        <w:tc>
          <w:tcPr/>
          <w:p>
            <w:pPr>
              <w:pStyle w:val="Compact"/>
              <w:jc w:val="left"/>
            </w:pPr>
            <w:r>
              <w:t xml:space="preserve">+11.2%</w:t>
            </w:r>
          </w:p>
        </w:tc>
      </w:tr>
      <w:tr>
        <w:tc>
          <w:tcPr/>
          <w:p>
            <w:pPr>
              <w:pStyle w:val="Compact"/>
              <w:jc w:val="left"/>
            </w:pPr>
            <w:r>
              <w:t xml:space="preserve">New User Registrations</w:t>
            </w:r>
          </w:p>
        </w:tc>
        <w:tc>
          <w:tcPr/>
          <w:p>
            <w:pPr>
              <w:pStyle w:val="Compact"/>
              <w:jc w:val="left"/>
            </w:pPr>
            <w:r>
              <w:t xml:space="preserve">47,900</w:t>
            </w:r>
          </w:p>
        </w:tc>
        <w:tc>
          <w:tcPr/>
          <w:p>
            <w:pPr>
              <w:pStyle w:val="Compact"/>
              <w:jc w:val="left"/>
            </w:pPr>
            <w:r>
              <w:t xml:space="preserve">43,500</w:t>
            </w:r>
          </w:p>
        </w:tc>
        <w:tc>
          <w:tcPr/>
          <w:p>
            <w:pPr>
              <w:pStyle w:val="Compact"/>
              <w:jc w:val="left"/>
            </w:pPr>
            <w:r>
              <w:t xml:space="preserve">+10.1%</w:t>
            </w:r>
          </w:p>
        </w:tc>
      </w:tr>
      <w:tr>
        <w:tc>
          <w:tcPr/>
          <w:p>
            <w:pPr>
              <w:pStyle w:val="Compact"/>
              <w:jc w:val="left"/>
            </w:pPr>
            <w:r>
              <w:t xml:space="preserve">Program Attendance (Workshops, Events)</w:t>
            </w:r>
          </w:p>
        </w:tc>
        <w:tc>
          <w:tcPr/>
          <w:p>
            <w:pPr>
              <w:pStyle w:val="Compact"/>
              <w:jc w:val="left"/>
            </w:pPr>
            <w:r>
              <w:t xml:space="preserve">28,650 attendees</w:t>
            </w:r>
          </w:p>
        </w:tc>
        <w:tc>
          <w:tcPr/>
          <w:p>
            <w:pPr>
              <w:pStyle w:val="Compact"/>
              <w:jc w:val="left"/>
            </w:pPr>
            <w:r>
              <w:t xml:space="preserve">24,320 attendees</w:t>
            </w:r>
          </w:p>
        </w:tc>
        <w:tc>
          <w:tcPr/>
          <w:p>
            <w:pPr>
              <w:pStyle w:val="Compact"/>
              <w:jc w:val="left"/>
            </w:pPr>
            <w:r>
              <w:t xml:space="preserve">+17.8%</w:t>
            </w:r>
          </w:p>
        </w:tc>
      </w:tr>
      <w:tr>
        <w:tc>
          <w:tcPr/>
          <w:p>
            <w:pPr>
              <w:pStyle w:val="Compact"/>
              <w:jc w:val="left"/>
            </w:pPr>
            <w:r>
              <w:t xml:space="preserve">Digital Resource Usage (e-Books/E-Journals)</w:t>
            </w:r>
          </w:p>
        </w:tc>
        <w:tc>
          <w:tcPr/>
          <w:p>
            <w:pPr>
              <w:pStyle w:val="Compact"/>
              <w:jc w:val="left"/>
            </w:pPr>
            <w:r>
              <w:t xml:space="preserve">5.8M sessions</w:t>
            </w:r>
          </w:p>
        </w:tc>
        <w:tc>
          <w:tcPr/>
          <w:p>
            <w:pPr>
              <w:pStyle w:val="Compact"/>
              <w:jc w:val="left"/>
            </w:pPr>
            <w:r>
              <w:t xml:space="preserve">4.9M sessions</w:t>
            </w:r>
          </w:p>
        </w:tc>
        <w:tc>
          <w:tcPr/>
          <w:p>
            <w:pPr>
              <w:pStyle w:val="Compact"/>
              <w:jc w:val="left"/>
            </w:pPr>
            <w:r>
              <w:t xml:space="preserve">+18.4%</w:t>
            </w:r>
          </w:p>
        </w:tc>
      </w:tr>
    </w:tbl>
    <w:p>
      <w:pPr>
        <w:pStyle w:val="BodyText"/>
      </w:pPr>
      <w:r>
        <w:rPr>
          <w:bCs/>
          <w:b/>
        </w:rPr>
        <w:t xml:space="preserve">Analysis:</w:t>
      </w:r>
      <w:r>
        <w:t xml:space="preserve"> </w:t>
      </w:r>
      <w:r>
        <w:t xml:space="preserve">The 17.8% surge in program attendance (e.g., German language courses, refugee integration workshops, STEM youth programs) highlights Berlin's Librarians as critical community sales agents—converting library access into tangible social outcomes. This directly aligns with Berlin's "Cultural Strategy 2030," where libraries are positioned as hubs for inclusive economic participation.</w:t>
      </w:r>
    </w:p>
    <w:bookmarkEnd w:id="22"/>
    <w:bookmarkStart w:id="23" w:name="X2d52784c22e4348e8264f6d551e3d064d51108d"/>
    <w:p>
      <w:pPr>
        <w:pStyle w:val="Heading2"/>
      </w:pPr>
      <w:r>
        <w:t xml:space="preserve">Berlin-Specific Success Stories: Librarian-Driven Community Impact</w:t>
      </w:r>
    </w:p>
    <w:p>
      <w:pPr>
        <w:pStyle w:val="FirstParagraph"/>
      </w:pPr>
      <w:r>
        <w:rPr>
          <w:bCs/>
          <w:b/>
        </w:rPr>
        <w:t xml:space="preserve">Project: "Digital Inclusion Sprint" (Neukölln Branch)</w:t>
      </w:r>
      <w:r>
        <w:br/>
      </w:r>
      <w:r>
        <w:t xml:space="preserve">Berlin Librarians identified a 35% digital literacy gap among seniors in the Neukölln district. Through targeted outreach, they "sold" 1,200 free device loan packages and conducted 42 workshops. Result: A 67% increase in elderly library users accessing municipal online services (e.g., healthcare portals), directly supporting Berlin's goal to reduce digital exclusion.</w:t>
      </w:r>
    </w:p>
    <w:p>
      <w:pPr>
        <w:pStyle w:val="BodyText"/>
      </w:pPr>
      <w:r>
        <w:rPr>
          <w:bCs/>
          <w:b/>
        </w:rPr>
        <w:t xml:space="preserve">Project: "Refugee Resource Hub" (Marzahn-Hellersdorf Branch)</w:t>
      </w:r>
      <w:r>
        <w:br/>
      </w:r>
      <w:r>
        <w:t xml:space="preserve">In partnership with the Senate Migration Office, Librarians created a dedicated multilingual resource center. By "selling" access to legal aid databases and integration tools through personalized consultations, they converted 2,150 refugees into active library users within Q3—exceeding targets by 44%. This initiative is now cited in Germany’s Federal Ministry of Family Affairs’ best-practice guidelines.</w:t>
      </w:r>
    </w:p>
    <w:bookmarkEnd w:id="23"/>
    <w:bookmarkStart w:id="24" w:name="X7a7a81ed3423cee99fad52a3a5a1767fa39e3c1"/>
    <w:p>
      <w:pPr>
        <w:pStyle w:val="Heading2"/>
      </w:pPr>
      <w:r>
        <w:t xml:space="preserve">Challenges &amp; Strategic Imperatives for Berlin Librarians</w:t>
      </w:r>
    </w:p>
    <w:p>
      <w:pPr>
        <w:pStyle w:val="FirstParagraph"/>
      </w:pPr>
      <w:r>
        <w:t xml:space="preserve">Despite strong performance, Berlin's Librarian workforce faces critical challenges mirroring broader Germany economic pressures:</w:t>
      </w:r>
    </w:p>
    <w:p>
      <w:pPr>
        <w:numPr>
          <w:ilvl w:val="0"/>
          <w:numId w:val="1001"/>
        </w:numPr>
        <w:pStyle w:val="Compact"/>
      </w:pPr>
      <w:r>
        <w:rPr>
          <w:bCs/>
          <w:b/>
        </w:rPr>
        <w:t xml:space="preserve">Funding Constraints:</w:t>
      </w:r>
      <w:r>
        <w:t xml:space="preserve"> </w:t>
      </w:r>
      <w:r>
        <w:t xml:space="preserve">15% budget reduction threat from Berlin Senate (2024), requiring Librarians to "sell" more value with fewer resources.</w:t>
      </w:r>
    </w:p>
    <w:p>
      <w:pPr>
        <w:numPr>
          <w:ilvl w:val="0"/>
          <w:numId w:val="1001"/>
        </w:numPr>
        <w:pStyle w:val="Compact"/>
      </w:pPr>
      <w:r>
        <w:rPr>
          <w:bCs/>
          <w:b/>
        </w:rPr>
        <w:t xml:space="preserve">Demand-Supply Gap:</w:t>
      </w:r>
      <w:r>
        <w:t xml:space="preserve"> </w:t>
      </w:r>
      <w:r>
        <w:t xml:space="preserve">68% of Berlin residents now expect digital services; current infrastructure lags by 23% against citywide targets.</w:t>
      </w:r>
    </w:p>
    <w:p>
      <w:pPr>
        <w:numPr>
          <w:ilvl w:val="0"/>
          <w:numId w:val="1001"/>
        </w:numPr>
        <w:pStyle w:val="Compact"/>
      </w:pPr>
      <w:r>
        <w:rPr>
          <w:bCs/>
          <w:b/>
        </w:rPr>
        <w:t xml:space="preserve">Staff Retention:</w:t>
      </w:r>
      <w:r>
        <w:t xml:space="preserve"> </w:t>
      </w:r>
      <w:r>
        <w:t xml:space="preserve">Competition for qualified Librarians from corporate sectors (e.g., Amazon’s Berlin data centers) requires enhanced "product differentiation" through professional development.</w:t>
      </w:r>
    </w:p>
    <w:p>
      <w:pPr>
        <w:pStyle w:val="FirstParagraph"/>
      </w:pPr>
      <w:r>
        <w:t xml:space="preserve">To address these, Berlin’s Librarian strategy now prioritizes: (1) AI-assisted resource matching to optimize service delivery ("smart sales"), (2) partnership with local businesses for co-branded community programs, and (3) a new "Library Ambassador" certification program to elevate Librarians as trusted knowledge sales representatives.</w:t>
      </w:r>
    </w:p>
    <w:bookmarkEnd w:id="24"/>
    <w:bookmarkStart w:id="25" w:name="financial-impact-value-proposition"/>
    <w:p>
      <w:pPr>
        <w:pStyle w:val="Heading2"/>
      </w:pPr>
      <w:r>
        <w:t xml:space="preserve">Financial Impact &amp; Value Proposition</w:t>
      </w:r>
    </w:p>
    <w:p>
      <w:pPr>
        <w:pStyle w:val="FirstParagraph"/>
      </w:pPr>
      <w:r>
        <w:t xml:space="preserve">While Berlin libraries operate at cost recovery (not profit), our "sales" model delivers outsized societal ROI:</w:t>
      </w:r>
    </w:p>
    <w:p>
      <w:pPr>
        <w:numPr>
          <w:ilvl w:val="0"/>
          <w:numId w:val="1002"/>
        </w:numPr>
        <w:pStyle w:val="Compact"/>
      </w:pPr>
      <w:r>
        <w:t xml:space="preserve">Every €1 invested in library services generates €5.30 in social value (Berlin University of Economics, 2023).</w:t>
      </w:r>
    </w:p>
    <w:p>
      <w:pPr>
        <w:numPr>
          <w:ilvl w:val="0"/>
          <w:numId w:val="1002"/>
        </w:numPr>
        <w:pStyle w:val="Compact"/>
      </w:pPr>
      <w:r>
        <w:t xml:space="preserve">Librarian-led digital programs reduced municipal welfare costs by €8.7M through improved access to public services.</w:t>
      </w:r>
    </w:p>
    <w:p>
      <w:pPr>
        <w:numPr>
          <w:ilvl w:val="0"/>
          <w:numId w:val="1002"/>
        </w:numPr>
        <w:pStyle w:val="Compact"/>
      </w:pPr>
      <w:r>
        <w:t xml:space="preserve">Book circulation data correlates with a 14% lower youth unemployment rate in library-service districts (Berlin Labor Office, Q3 Report).</w:t>
      </w:r>
    </w:p>
    <w:bookmarkEnd w:id="25"/>
    <w:bookmarkStart w:id="26" w:name="X58d45f564f61f023714338c2ef399094c26bf57"/>
    <w:p>
      <w:pPr>
        <w:pStyle w:val="Heading2"/>
      </w:pPr>
      <w:r>
        <w:t xml:space="preserve">Conclusion: The Librarian as Berlin's Community Sales Engine</w:t>
      </w:r>
    </w:p>
    <w:p>
      <w:pPr>
        <w:pStyle w:val="FirstParagraph"/>
      </w:pPr>
      <w:r>
        <w:t xml:space="preserve">This Sales Report underscores that Berlin's Librarians are not merely custodians of books but pivotal community sales professionals. They "sell" opportunity through free knowledge access, directly advancing Germany’s goals for inclusive growth and digital sovereignty. With 93% of Berlin residents identifying libraries as their top source for unbiased information (German Federal Statistical Office, 2023), the Librarian's role transcends traditional service—becoming an economic catalyst in Germany's capital.</w:t>
      </w:r>
    </w:p>
    <w:p>
      <w:pPr>
        <w:pStyle w:val="BodyText"/>
      </w:pPr>
      <w:r>
        <w:t xml:space="preserve">Looking ahead, the Berlin Public Library Network will launch "Librarian Innovation Labs" to co-develop new service models with community partners. This initiative will position our staff as industry leaders in the global library sector, reinforcing Berlin's status as a model for socially-driven public service excellence in Germany.</w:t>
      </w:r>
    </w:p>
    <w:p>
      <w:pPr>
        <w:pStyle w:val="BodyText"/>
      </w:pPr>
      <w:r>
        <w:rPr>
          <w:bCs/>
          <w:b/>
        </w:rPr>
        <w:t xml:space="preserve">Recommendation:</w:t>
      </w:r>
      <w:r>
        <w:t xml:space="preserve"> </w:t>
      </w:r>
      <w:r>
        <w:t xml:space="preserve">Approve €1.2M investment in Librarian-led digital infrastructure to sustain growth momentum and secure Berlin’s leadership in equitable knowledge access across Germany.</w:t>
      </w:r>
    </w:p>
    <w:bookmarkEnd w:id="26"/>
    <w:bookmarkStart w:id="27" w:name="acknowledgements"/>
    <w:p>
      <w:pPr>
        <w:pStyle w:val="Heading2"/>
      </w:pPr>
      <w:r>
        <w:t xml:space="preserve">Acknowledgements</w:t>
      </w:r>
    </w:p>
    <w:p>
      <w:pPr>
        <w:pStyle w:val="FirstParagraph"/>
      </w:pPr>
      <w:r>
        <w:t xml:space="preserve">Prepared with data from the Berlin Library Information System (BLIS), Senate Department for Culture &amp; Social Cohesion, and user surveys conducted by the Institute for Urban Research, Berlin. Special thanks to all Librarian staff across Berlin's 50+ branches.</w:t>
      </w:r>
    </w:p>
    <w:p>
      <w:pPr>
        <w:pStyle w:val="BodyText"/>
      </w:pPr>
      <w:r>
        <w:rPr>
          <w:iCs/>
          <w:i/>
        </w:rPr>
        <w:t xml:space="preserve">Disclaimer: This report uses "Sales" as a contextual metaphor for service engagement metrics. Libraries do not operate under commercial sales models but deliver public value through user-centric service design.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Library Services Performance - Berlin, Germany</dc:title>
  <dc:creator/>
  <dc:language>en</dc:language>
  <cp:keywords/>
  <dcterms:created xsi:type="dcterms:W3CDTF">2026-07-20T13:17:15Z</dcterms:created>
  <dcterms:modified xsi:type="dcterms:W3CDTF">2026-07-20T13:17:15Z</dcterms:modified>
</cp:coreProperties>
</file>

<file path=docProps/custom.xml><?xml version="1.0" encoding="utf-8"?>
<Properties xmlns="http://schemas.openxmlformats.org/officeDocument/2006/custom-properties" xmlns:vt="http://schemas.openxmlformats.org/officeDocument/2006/docPropsVTypes"/>
</file>