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Library</w:t>
      </w:r>
      <w:r>
        <w:t xml:space="preserve"> </w:t>
      </w:r>
      <w:r>
        <w:t xml:space="preserve">Management</w:t>
      </w:r>
      <w:r>
        <w:t xml:space="preserve"> </w:t>
      </w:r>
      <w:r>
        <w:t xml:space="preserve">Solutions</w:t>
      </w:r>
      <w:r>
        <w:t xml:space="preserve"> </w:t>
      </w:r>
      <w:r>
        <w:t xml:space="preserve">in</w:t>
      </w:r>
      <w:r>
        <w:t xml:space="preserve"> </w:t>
      </w:r>
      <w:r>
        <w:t xml:space="preserve">Germany</w:t>
      </w:r>
      <w:r>
        <w:t xml:space="preserve"> </w:t>
      </w:r>
      <w:r>
        <w:t xml:space="preserve">Frankfurt</w:t>
      </w:r>
    </w:p>
    <w:bookmarkStart w:id="28" w:name="Xd24445a2d1d82338bd1b579f7e27bbf29c681f4"/>
    <w:p>
      <w:pPr>
        <w:pStyle w:val="Heading1"/>
      </w:pPr>
      <w:r>
        <w:t xml:space="preserve">Quarterly Sales Report: Strategic Growth in Library Management Solutions for Germany Frankfurt Market</w:t>
      </w:r>
    </w:p>
    <w:bookmarkStart w:id="20" w:name="executive-summary"/>
    <w:p>
      <w:pPr>
        <w:pStyle w:val="Heading2"/>
      </w:pPr>
      <w:r>
        <w:t xml:space="preserve">Executive Summary</w:t>
      </w:r>
    </w:p>
    <w:p>
      <w:pPr>
        <w:pStyle w:val="FirstParagraph"/>
      </w:pPr>
      <w:r>
        <w:t xml:space="preserve">This comprehensive Sales Report details the performance of our library technology solutions across the Frankfurt metropolitan area, Germany's premier financial and cultural hub. The quarter ending June 30, 2023, demonstrated significant progress in securing key partnerships with municipal libraries and academic institutions where</w:t>
      </w:r>
      <w:r>
        <w:t xml:space="preserve"> </w:t>
      </w:r>
      <w:r>
        <w:rPr>
          <w:bCs/>
          <w:b/>
        </w:rPr>
        <w:t xml:space="preserve">Librarian</w:t>
      </w:r>
      <w:r>
        <w:t xml:space="preserve"> </w:t>
      </w:r>
      <w:r>
        <w:t xml:space="preserve">decision-makers are central to procurement processes. With Frankfurt's library sector serving over 1.2 million residents across its diverse districts, this report underscores our strategic focus on delivering tailored solutions that align with the unique operational needs of German</w:t>
      </w:r>
      <w:r>
        <w:t xml:space="preserve"> </w:t>
      </w:r>
      <w:r>
        <w:rPr>
          <w:bCs/>
          <w:b/>
        </w:rPr>
        <w:t xml:space="preserve">Librarian</w:t>
      </w:r>
      <w:r>
        <w:t xml:space="preserve"> </w:t>
      </w:r>
      <w:r>
        <w:t xml:space="preserve">professionals within the</w:t>
      </w:r>
      <w:r>
        <w:t xml:space="preserve"> </w:t>
      </w:r>
      <w:r>
        <w:rPr>
          <w:bCs/>
          <w:b/>
        </w:rPr>
        <w:t xml:space="preserve">Germany Frankfurt</w:t>
      </w:r>
      <w:r>
        <w:t xml:space="preserve"> </w:t>
      </w:r>
      <w:r>
        <w:t xml:space="preserve">ecosystem.</w:t>
      </w:r>
    </w:p>
    <w:bookmarkEnd w:id="20"/>
    <w:bookmarkStart w:id="21" w:name="Xe36b6ad26d70f6d5a0303d7fe4165e8b7f73bb2"/>
    <w:p>
      <w:pPr>
        <w:pStyle w:val="Heading2"/>
      </w:pPr>
      <w:r>
        <w:t xml:space="preserve">Market Context: Germany Frankfurt's Library Landscape</w:t>
      </w:r>
    </w:p>
    <w:p>
      <w:pPr>
        <w:pStyle w:val="FirstParagraph"/>
      </w:pPr>
      <w:r>
        <w:rPr>
          <w:bCs/>
          <w:b/>
        </w:rPr>
        <w:t xml:space="preserve">Germany Frankfurt</w:t>
      </w:r>
      <w:r>
        <w:t xml:space="preserve"> </w:t>
      </w:r>
      <w:r>
        <w:t xml:space="preserve">represents a critical market for advanced library management systems due to its status as a UNESCO City of Literature and home to 18 public libraries, 10 university institutions, and the Deutsche Nationalbibliothek (German National Library). The city's librarians face unprecedented challenges: rising digital literacy demands, budget constraints from local government funding cycles, and the need for seamless integration with Germany's national library infrastructure. Our Sales Report confirms that 87% of Frankfurt-based</w:t>
      </w:r>
      <w:r>
        <w:t xml:space="preserve"> </w:t>
      </w:r>
      <w:r>
        <w:rPr>
          <w:bCs/>
          <w:b/>
        </w:rPr>
        <w:t xml:space="preserve">Librarian</w:t>
      </w:r>
      <w:r>
        <w:t xml:space="preserve"> </w:t>
      </w:r>
      <w:r>
        <w:t xml:space="preserve">professionals prioritized cloud-based solutions offering multilingual support (German/English) and GDPR-compliant data handling in Q2 2023.</w:t>
      </w:r>
    </w:p>
    <w:bookmarkEnd w:id="21"/>
    <w:bookmarkStart w:id="22" w:name="sales-performance-highlights"/>
    <w:p>
      <w:pPr>
        <w:pStyle w:val="Heading2"/>
      </w:pPr>
      <w:r>
        <w:t xml:space="preserve">Sales Performance Highlights</w:t>
      </w:r>
    </w:p>
    <w:p>
      <w:pPr>
        <w:pStyle w:val="FirstParagraph"/>
      </w:pPr>
      <w:r>
        <w:t xml:space="preserve">This quarter's results reflect a 34% year-over-year increase in sales contracts within the</w:t>
      </w:r>
      <w:r>
        <w:t xml:space="preserve"> </w:t>
      </w:r>
      <w:r>
        <w:rPr>
          <w:bCs/>
          <w:b/>
        </w:rPr>
        <w:t xml:space="preserve">Germany Frankfurt</w:t>
      </w:r>
      <w:r>
        <w:t xml:space="preserve"> </w:t>
      </w:r>
      <w:r>
        <w:t xml:space="preserve">region. Key achievements include:</w:t>
      </w:r>
    </w:p>
    <w:p>
      <w:pPr>
        <w:numPr>
          <w:ilvl w:val="0"/>
          <w:numId w:val="1001"/>
        </w:numPr>
        <w:pStyle w:val="Compact"/>
      </w:pPr>
      <w:r>
        <w:rPr>
          <w:bCs/>
          <w:b/>
        </w:rPr>
        <w:t xml:space="preserve">Acquisition of Frankfurt City Library Consortium</w:t>
      </w:r>
      <w:r>
        <w:t xml:space="preserve">: Secured a €450,000 contract for our integrated library system (ILS), serving 12 municipal branches and enabling the transition from legacy systems to a unified digital platform. This deal was spearheaded by Director</w:t>
      </w:r>
      <w:r>
        <w:t xml:space="preserve"> </w:t>
      </w:r>
      <w:r>
        <w:rPr>
          <w:iCs/>
          <w:i/>
        </w:rPr>
        <w:t xml:space="preserve">Dr. Anja Müller</w:t>
      </w:r>
      <w:r>
        <w:t xml:space="preserve">, who emphasized our solution's compatibility with German library standards (DIN 15004).</w:t>
      </w:r>
    </w:p>
    <w:p>
      <w:pPr>
        <w:numPr>
          <w:ilvl w:val="0"/>
          <w:numId w:val="1001"/>
        </w:numPr>
        <w:pStyle w:val="Compact"/>
      </w:pPr>
      <w:r>
        <w:rPr>
          <w:bCs/>
          <w:b/>
        </w:rPr>
        <w:t xml:space="preserve">University of Frankfurt Partnership</w:t>
      </w:r>
      <w:r>
        <w:t xml:space="preserve">: Closed a €220,000 contract for our analytics module, adopted by the university's</w:t>
      </w:r>
      <w:r>
        <w:t xml:space="preserve"> </w:t>
      </w:r>
      <w:r>
        <w:rPr>
          <w:bCs/>
          <w:b/>
        </w:rPr>
        <w:t xml:space="preserve">Librarian</w:t>
      </w:r>
      <w:r>
        <w:t xml:space="preserve"> </w:t>
      </w:r>
      <w:r>
        <w:t xml:space="preserve">staff to track research resource usage patterns. This implementation reduced inter-library loan processing time by 41%.</w:t>
      </w:r>
    </w:p>
    <w:p>
      <w:pPr>
        <w:numPr>
          <w:ilvl w:val="0"/>
          <w:numId w:val="1001"/>
        </w:numPr>
        <w:pStyle w:val="Compact"/>
      </w:pPr>
      <w:r>
        <w:rPr>
          <w:bCs/>
          <w:b/>
        </w:rPr>
        <w:t xml:space="preserve">District Library Expansion</w:t>
      </w:r>
      <w:r>
        <w:t xml:space="preserve">: Achieved 7 new contracts across Frankfurt's suburbs (Sindelfingen, Niederrad, Heddernheim), all involving</w:t>
      </w:r>
      <w:r>
        <w:t xml:space="preserve"> </w:t>
      </w:r>
      <w:r>
        <w:rPr>
          <w:bCs/>
          <w:b/>
        </w:rPr>
        <w:t xml:space="preserve">Librarian</w:t>
      </w:r>
      <w:r>
        <w:t xml:space="preserve"> </w:t>
      </w:r>
      <w:r>
        <w:t xml:space="preserve">teams seeking modernized cataloging systems compliant with the German National Library's requirements.</w:t>
      </w:r>
    </w:p>
    <w:bookmarkEnd w:id="22"/>
    <w:bookmarkStart w:id="23" w:name="Xb3154e11e7ad8c113a700413ee5e6006549269f"/>
    <w:p>
      <w:pPr>
        <w:pStyle w:val="Heading2"/>
      </w:pPr>
      <w:r>
        <w:t xml:space="preserve">Key Sales Metrics: Germany Frankfurt Focus</w:t>
      </w:r>
    </w:p>
    <w:p>
      <w:pPr>
        <w:pStyle w:val="FirstParagraph"/>
      </w:pPr>
      <w:r>
        <w:t xml:space="preserve">The following table summarizes performance against targets:</w:t>
      </w:r>
    </w:p>
    <w:p>
      <w:pPr>
        <w:pStyle w:val="BodyText"/>
      </w:pPr>
      <w:r>
        <w:t xml:space="preserve">KPI</w:t>
      </w:r>
    </w:p>
    <w:p>
      <w:pPr>
        <w:pStyle w:val="BodyText"/>
      </w:pPr>
      <w:r>
        <w:t xml:space="preserve">Q2 2023 Target</w:t>
      </w:r>
    </w:p>
    <w:p>
      <w:pPr>
        <w:pStyle w:val="BodyText"/>
      </w:pPr>
      <w:r>
        <w:t xml:space="preserve">Actual Result</w:t>
      </w:r>
    </w:p>
    <w:p>
      <w:pPr>
        <w:pStyle w:val="BodyText"/>
      </w:pPr>
      <w:r>
        <w:t xml:space="preserve">Variance</w:t>
      </w:r>
    </w:p>
    <w:p>
      <w:pPr>
        <w:pStyle w:val="BodyText"/>
      </w:pPr>
      <w:r>
        <w:t xml:space="preserve">New Client Acquisition (Frankfurt)</w:t>
      </w:r>
    </w:p>
    <w:p>
      <w:pPr>
        <w:pStyle w:val="BodyText"/>
      </w:pPr>
      <w:r>
        <w:t xml:space="preserve">5 contracts</w:t>
      </w:r>
    </w:p>
    <w:p>
      <w:pPr>
        <w:pStyle w:val="BodyText"/>
      </w:pPr>
      <w:r>
        <w:t xml:space="preserve">9 contracts</w:t>
      </w:r>
    </w:p>
    <w:p>
      <w:pPr>
        <w:pStyle w:val="BodyText"/>
      </w:pPr>
      <w:r>
        <w:t xml:space="preserve">+80%</w:t>
      </w:r>
    </w:p>
    <w:p>
      <w:pPr>
        <w:pStyle w:val="BodyText"/>
      </w:pPr>
      <w:r>
        <w:t xml:space="preserve">Average Deal Size</w:t>
      </w:r>
    </w:p>
    <w:p>
      <w:pPr>
        <w:pStyle w:val="BodyText"/>
      </w:pPr>
      <w:r>
        <w:t xml:space="preserve">€185,000</w:t>
      </w:r>
    </w:p>
    <w:p>
      <w:pPr>
        <w:pStyle w:val="BodyText"/>
      </w:pPr>
      <w:r>
        <w:t xml:space="preserve">&lt; td&gt;€327,000</w:t>
      </w:r>
    </w:p>
    <w:p>
      <w:pPr>
        <w:pStyle w:val="BodyText"/>
      </w:pPr>
      <w:r>
        <w:t xml:space="preserve">Industry Benchmark: 22% above Frankfurt market average for similar solutions</w:t>
      </w:r>
    </w:p>
    <w:bookmarkEnd w:id="23"/>
    <w:bookmarkStart w:id="24" w:name="X7f93112e5f585a573058f7f72b96ef0855c97a7"/>
    <w:p>
      <w:pPr>
        <w:pStyle w:val="Heading2"/>
      </w:pPr>
      <w:r>
        <w:t xml:space="preserve">Insights from Librarian Stakeholders in Germany Frankfurt</w:t>
      </w:r>
    </w:p>
    <w:p>
      <w:pPr>
        <w:pStyle w:val="FirstParagraph"/>
      </w:pPr>
      <w:r>
        <w:t xml:space="preserve">Direct engagement with 37 librarians across the</w:t>
      </w:r>
      <w:r>
        <w:t xml:space="preserve"> </w:t>
      </w:r>
      <w:r>
        <w:rPr>
          <w:bCs/>
          <w:b/>
        </w:rPr>
        <w:t xml:space="preserve">Germany Frankfurt</w:t>
      </w:r>
      <w:r>
        <w:t xml:space="preserve"> </w:t>
      </w:r>
      <w:r>
        <w:t xml:space="preserve">region revealed critical success factors:</w:t>
      </w:r>
    </w:p>
    <w:p>
      <w:pPr>
        <w:numPr>
          <w:ilvl w:val="0"/>
          <w:numId w:val="1002"/>
        </w:numPr>
        <w:pStyle w:val="Compact"/>
      </w:pPr>
      <w:r>
        <w:rPr>
          <w:iCs/>
          <w:i/>
        </w:rPr>
        <w:t xml:space="preserve">"Our primary concern was data sovereignty,"</w:t>
      </w:r>
      <w:r>
        <w:t xml:space="preserve"> </w:t>
      </w:r>
      <w:r>
        <w:t xml:space="preserve">stated Markus Vogel, Head Librarian at Goethe University Library. "Your GDPR-compliant European data center gave us immediate confidence to adopt your platform."</w:t>
      </w:r>
    </w:p>
    <w:p>
      <w:pPr>
        <w:numPr>
          <w:ilvl w:val="0"/>
          <w:numId w:val="1002"/>
        </w:numPr>
        <w:pStyle w:val="Compact"/>
      </w:pPr>
      <w:r>
        <w:t xml:space="preserve">Frankfurt Municipal Library's digital services team noted:</w:t>
      </w:r>
      <w:r>
        <w:t xml:space="preserve"> </w:t>
      </w:r>
      <w:r>
        <w:rPr>
          <w:iCs/>
          <w:i/>
        </w:rPr>
        <w:t xml:space="preserve">"The seamless integration with our existing Z39.50 systems was non-negotiable – your solution delivered this without disrupting daily operations."</w:t>
      </w:r>
    </w:p>
    <w:p>
      <w:pPr>
        <w:numPr>
          <w:ilvl w:val="0"/>
          <w:numId w:val="1002"/>
        </w:numPr>
        <w:pStyle w:val="Compact"/>
      </w:pPr>
      <w:r>
        <w:t xml:space="preserve">A joint survey of 120 Frankfurt librarians showed 89% ranked "local language support" as their top selection criterion, directly influencing our sales strategy in the region.</w:t>
      </w:r>
    </w:p>
    <w:bookmarkEnd w:id="24"/>
    <w:bookmarkStart w:id="25" w:name="challenges-and-strategic-adaptations"/>
    <w:p>
      <w:pPr>
        <w:pStyle w:val="Heading2"/>
      </w:pPr>
      <w:r>
        <w:t xml:space="preserve">Challenges and Strategic Adaptations</w:t>
      </w:r>
    </w:p>
    <w:p>
      <w:pPr>
        <w:pStyle w:val="FirstParagraph"/>
      </w:pPr>
      <w:r>
        <w:t xml:space="preserve">While market response was positive, two challenges emerged requiring rapid adaptation:</w:t>
      </w:r>
    </w:p>
    <w:p>
      <w:pPr>
        <w:numPr>
          <w:ilvl w:val="0"/>
          <w:numId w:val="1003"/>
        </w:numPr>
        <w:pStyle w:val="Compact"/>
      </w:pPr>
      <w:r>
        <w:rPr>
          <w:bCs/>
          <w:b/>
        </w:rPr>
        <w:t xml:space="preserve">Budget Cycles:</w:t>
      </w:r>
      <w:r>
        <w:t xml:space="preserve"> </w:t>
      </w:r>
      <w:r>
        <w:t xml:space="preserve">Frankfurt's library funding operates on a fiscal year ending June 30. We adjusted our sales cycle to align with municipal budget planning windows, resulting in 3 new contracts secured within the final month of Q2.</w:t>
      </w:r>
    </w:p>
    <w:p>
      <w:pPr>
        <w:numPr>
          <w:ilvl w:val="0"/>
          <w:numId w:val="1003"/>
        </w:numPr>
        <w:pStyle w:val="Compact"/>
      </w:pPr>
      <w:r>
        <w:rPr>
          <w:bCs/>
          <w:b/>
        </w:rPr>
        <w:t xml:space="preserve">Cultural Nuances:</w:t>
      </w:r>
      <w:r>
        <w:t xml:space="preserve"> </w:t>
      </w:r>
      <w:r>
        <w:t xml:space="preserve">Initial sales pitches failed to emphasize Germany's "Bibliothekskultur" (library culture) values. After training our Frankfurt-based team on German library ethics and institutional protocols, conversion rates improved by 27%.</w:t>
      </w:r>
    </w:p>
    <w:bookmarkEnd w:id="25"/>
    <w:bookmarkStart w:id="26" w:name="X986c28ddf51332de00ac96b923ef223ccf1fc8b"/>
    <w:p>
      <w:pPr>
        <w:pStyle w:val="Heading2"/>
      </w:pPr>
      <w:r>
        <w:t xml:space="preserve">Future Strategy: Deepening Librarian Relationships in Germany Frankfurt</w:t>
      </w:r>
    </w:p>
    <w:p>
      <w:pPr>
        <w:pStyle w:val="FirstParagraph"/>
      </w:pPr>
      <w:r>
        <w:t xml:space="preserve">This Sales Report identifies three priority initiatives for the next quarter:</w:t>
      </w:r>
    </w:p>
    <w:p>
      <w:pPr>
        <w:numPr>
          <w:ilvl w:val="0"/>
          <w:numId w:val="1004"/>
        </w:numPr>
        <w:pStyle w:val="Compact"/>
      </w:pPr>
      <w:r>
        <w:rPr>
          <w:bCs/>
          <w:b/>
        </w:rPr>
        <w:t xml:space="preserve">Frankfurt Library Innovation Summit:</w:t>
      </w:r>
      <w:r>
        <w:t xml:space="preserve"> </w:t>
      </w:r>
      <w:r>
        <w:t xml:space="preserve">Hosting an exclusive event at the Stadtbibliothek Frankfurt (July 15) with keynote speakers from the German Library Association, targeting all senior librarians to demonstrate AI-driven collection management tools.</w:t>
      </w:r>
    </w:p>
    <w:p>
      <w:pPr>
        <w:numPr>
          <w:ilvl w:val="0"/>
          <w:numId w:val="1004"/>
        </w:numPr>
        <w:pStyle w:val="Compact"/>
      </w:pPr>
      <w:r>
        <w:rPr>
          <w:bCs/>
          <w:b/>
        </w:rPr>
        <w:t xml:space="preserve">Localized Training Programs:</w:t>
      </w:r>
      <w:r>
        <w:t xml:space="preserve"> </w:t>
      </w:r>
      <w:r>
        <w:t xml:space="preserve">Developing certified workshops in German for</w:t>
      </w:r>
      <w:r>
        <w:t xml:space="preserve"> </w:t>
      </w:r>
      <w:r>
        <w:rPr>
          <w:bCs/>
          <w:b/>
        </w:rPr>
        <w:t xml:space="preserve">Librarian</w:t>
      </w:r>
      <w:r>
        <w:t xml:space="preserve"> </w:t>
      </w:r>
      <w:r>
        <w:t xml:space="preserve">staff at no additional cost, focusing on interoperability with regional systems like "Bibliotheksdatenbank Hessen".</w:t>
      </w:r>
    </w:p>
    <w:p>
      <w:pPr>
        <w:numPr>
          <w:ilvl w:val="0"/>
          <w:numId w:val="1004"/>
        </w:numPr>
        <w:pStyle w:val="Compact"/>
      </w:pPr>
      <w:r>
        <w:rPr>
          <w:bCs/>
          <w:b/>
        </w:rPr>
        <w:t xml:space="preserve">Budget Partnership Program:</w:t>
      </w:r>
      <w:r>
        <w:t xml:space="preserve"> </w:t>
      </w:r>
      <w:r>
        <w:t xml:space="preserve">Creating flexible payment plans aligned with Frankfurt's municipal budget cycles, specifically designed for libraries seeking phased implementation.</w:t>
      </w:r>
    </w:p>
    <w:bookmarkEnd w:id="26"/>
    <w:bookmarkStart w:id="27" w:name="X5ae3339151164908197a238d3d74ae0c7974b71"/>
    <w:p>
      <w:pPr>
        <w:pStyle w:val="Heading2"/>
      </w:pPr>
      <w:r>
        <w:t xml:space="preserve">Conclusion: The Librarian-Driven Growth Engine</w:t>
      </w:r>
    </w:p>
    <w:p>
      <w:pPr>
        <w:pStyle w:val="FirstParagraph"/>
      </w:pPr>
      <w:r>
        <w:t xml:space="preserve">The success of our sales efforts in the</w:t>
      </w:r>
      <w:r>
        <w:t xml:space="preserve"> </w:t>
      </w:r>
      <w:r>
        <w:rPr>
          <w:bCs/>
          <w:b/>
        </w:rPr>
        <w:t xml:space="preserve">Germany Frankfurt</w:t>
      </w:r>
      <w:r>
        <w:t xml:space="preserve"> </w:t>
      </w:r>
      <w:r>
        <w:t xml:space="preserve">market hinges entirely on understanding and partnering with local librarians as strategic allies. This Sales Report confirms that 93% of closed deals were directly influenced by personalized engagement with library decision-makers, not generic sales tactics. As Frankfurt continues its transformation into a "Smart City" model for public services, our solutions positioned for the</w:t>
      </w:r>
      <w:r>
        <w:t xml:space="preserve"> </w:t>
      </w:r>
      <w:r>
        <w:rPr>
          <w:bCs/>
          <w:b/>
        </w:rPr>
        <w:t xml:space="preserve">Librarian</w:t>
      </w:r>
      <w:r>
        <w:t xml:space="preserve">'s operational reality will remain our primary growth driver in Germany's most dynamic library market.</w:t>
      </w:r>
    </w:p>
    <w:p>
      <w:pPr>
        <w:pStyle w:val="BodyText"/>
      </w:pPr>
      <w:r>
        <w:t xml:space="preserve">With 23 ongoing negotiations across the Frankfurt region and an 86% client retention rate among existing accounts, we project a 40% sales increase for Q3. The path forward is clear: continue prioritizing librarian-centric innovation within the</w:t>
      </w:r>
      <w:r>
        <w:t xml:space="preserve"> </w:t>
      </w:r>
      <w:r>
        <w:rPr>
          <w:bCs/>
          <w:b/>
        </w:rPr>
        <w:t xml:space="preserve">Germany Frankfurt</w:t>
      </w:r>
      <w:r>
        <w:t xml:space="preserve"> </w:t>
      </w:r>
      <w:r>
        <w:t xml:space="preserve">ecosystem as our core competitive advantage.</w:t>
      </w:r>
    </w:p>
    <w:p>
      <w:pPr>
        <w:pStyle w:val="BodyText"/>
      </w:pPr>
      <w:r>
        <w:rPr>
          <w:iCs/>
          <w:i/>
        </w:rPr>
        <w:t xml:space="preserve">Prepared by Global Library Solutions Sales Team | Frankfurt Office | July 5, 2023</w:t>
      </w:r>
      <w:r>
        <w:br/>
      </w:r>
      <w:r>
        <w:rPr>
          <w:iCs/>
          <w:i/>
        </w:rPr>
        <w:t xml:space="preserve">This Sales Report is confidential and intended solely for internal strategic planning at Global Library Solutions. All data sourced from client interactions within Germany Frankfurt between April–June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Library Management Solutions in Germany Frankfurt</dc:title>
  <dc:creator/>
  <dc:language>en</dc:language>
  <cp:keywords/>
  <dcterms:created xsi:type="dcterms:W3CDTF">2025-12-09T17:33:49Z</dcterms:created>
  <dcterms:modified xsi:type="dcterms:W3CDTF">2025-12-09T17:33:49Z</dcterms:modified>
</cp:coreProperties>
</file>

<file path=docProps/custom.xml><?xml version="1.0" encoding="utf-8"?>
<Properties xmlns="http://schemas.openxmlformats.org/officeDocument/2006/custom-properties" xmlns:vt="http://schemas.openxmlformats.org/officeDocument/2006/docPropsVTypes"/>
</file>