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Library</w:t>
      </w:r>
      <w:r>
        <w:t xml:space="preserve"> </w:t>
      </w:r>
      <w:r>
        <w:t xml:space="preserve">Sales</w:t>
      </w:r>
      <w:r>
        <w:t xml:space="preserve"> </w:t>
      </w:r>
      <w:r>
        <w:t xml:space="preserve">Performance</w:t>
      </w:r>
      <w:r>
        <w:t xml:space="preserve"> </w:t>
      </w:r>
      <w:r>
        <w:t xml:space="preserve">Report</w:t>
      </w:r>
    </w:p>
    <w:bookmarkStart w:id="29" w:name="Xaf8cabcb1d389c48bb5c9b879f1fa505cf550bd"/>
    <w:p>
      <w:pPr>
        <w:pStyle w:val="Heading1"/>
      </w:pPr>
      <w:r>
        <w:t xml:space="preserve">Sales Report: Kuala Lumpur Public Library System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Malaysia Kuala Lumpur Municipal Authority</w:t>
      </w:r>
      <w:r>
        <w:br/>
      </w:r>
      <w:r>
        <w:rPr>
          <w:bCs/>
          <w:b/>
        </w:rPr>
        <w:t xml:space="preserve">Prepared By:</w:t>
      </w:r>
      <w:r>
        <w:t xml:space="preserve"> </w:t>
      </w:r>
      <w:r>
        <w:t xml:space="preserve">Aisha Rahman, Head Librarian</w:t>
      </w:r>
    </w:p>
    <w:bookmarkStart w:id="20" w:name="i.-executive-summary"/>
    <w:p>
      <w:pPr>
        <w:pStyle w:val="Heading2"/>
      </w:pPr>
      <w:r>
        <w:t xml:space="preserve">I. Executive Summary</w:t>
      </w:r>
    </w:p>
    <w:p>
      <w:pPr>
        <w:pStyle w:val="FirstParagraph"/>
      </w:pPr>
      <w:r>
        <w:t xml:space="preserve">This Sales Report details the comprehensive performance metrics for Kuala Lumpur Public Library System (KLPB) during Q3 2023. As the primary Librarian overseeing revenue streams across all 45 branches in Malaysia Kuala Lumpur, this document outlines strategic achievements, market trends, and actionable insights driving sustainable growth. Our focus on converting library services into measurable revenue has resulted in a 17% year-over-year increase in ancillary sales—significantly outpacing national library averages. This report underscores how our Librarian team has transformed traditional public service into a financially robust model while maintaining cultural relevance across diverse communities in Malaysia Kuala Lumpur.</w:t>
      </w:r>
    </w:p>
    <w:bookmarkEnd w:id="20"/>
    <w:bookmarkStart w:id="21" w:name="ii.-key-performance-indicators-kpis"/>
    <w:p>
      <w:pPr>
        <w:pStyle w:val="Heading2"/>
      </w:pPr>
      <w:r>
        <w:t xml:space="preserve">II. 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Ancillary Sales Revenue (Bookshop, Events)</w:t>
            </w:r>
          </w:p>
        </w:tc>
        <w:tc>
          <w:tcPr/>
          <w:p>
            <w:pPr>
              <w:pStyle w:val="Compact"/>
              <w:jc w:val="left"/>
            </w:pPr>
            <w:r>
              <w:t xml:space="preserve">RM 1.84M</w:t>
            </w:r>
          </w:p>
        </w:tc>
        <w:tc>
          <w:tcPr/>
          <w:p>
            <w:pPr>
              <w:pStyle w:val="Compact"/>
              <w:jc w:val="left"/>
            </w:pPr>
            <w:r>
              <w:t xml:space="preserve">RM 1.57M</w:t>
            </w:r>
          </w:p>
        </w:tc>
        <w:tc>
          <w:tcPr/>
          <w:p>
            <w:pPr>
              <w:pStyle w:val="Compact"/>
              <w:jc w:val="left"/>
            </w:pPr>
            <w:r>
              <w:t xml:space="preserve">+17.2%</w:t>
            </w:r>
          </w:p>
        </w:tc>
      </w:tr>
      <w:tr>
        <w:tc>
          <w:tcPr/>
          <w:p>
            <w:pPr>
              <w:pStyle w:val="Compact"/>
              <w:jc w:val="left"/>
            </w:pPr>
            <w:r>
              <w:t xml:space="preserve">Membership Renewal Rate</w:t>
            </w:r>
          </w:p>
        </w:tc>
        <w:tc>
          <w:tcPr/>
          <w:p>
            <w:pPr>
              <w:pStyle w:val="Compact"/>
              <w:jc w:val="left"/>
            </w:pPr>
            <w:r>
              <w:t xml:space="preserve">89%</w:t>
            </w:r>
          </w:p>
        </w:tc>
        <w:tc>
          <w:tcPr/>
          <w:p>
            <w:pPr>
              <w:pStyle w:val="Compact"/>
              <w:jc w:val="left"/>
            </w:pPr>
            <w:r>
              <w:t xml:space="preserve">83%</w:t>
            </w:r>
          </w:p>
        </w:tc>
        <w:tc>
          <w:tcPr/>
          <w:p>
            <w:pPr>
              <w:pStyle w:val="Compact"/>
              <w:jc w:val="left"/>
            </w:pPr>
            <w:r>
              <w:t xml:space="preserve">+6 pts</w:t>
            </w:r>
          </w:p>
        </w:tc>
      </w:tr>
      <w:tr>
        <w:tc>
          <w:tcPr/>
          <w:p>
            <w:pPr>
              <w:pStyle w:val="Compact"/>
              <w:jc w:val="left"/>
            </w:pPr>
            <w:r>
              <w:t xml:space="preserve">Event Attendance (Paid)</w:t>
            </w:r>
          </w:p>
        </w:tc>
        <w:tc>
          <w:tcPr/>
          <w:p>
            <w:pPr>
              <w:pStyle w:val="Compact"/>
              <w:jc w:val="left"/>
            </w:pPr>
            <w:r>
              <w:t xml:space="preserve">24,500</w:t>
            </w:r>
          </w:p>
        </w:tc>
        <w:tc>
          <w:tcPr/>
          <w:p>
            <w:pPr>
              <w:pStyle w:val="Compact"/>
              <w:jc w:val="left"/>
            </w:pPr>
            <w:r>
              <w:t xml:space="preserve">21,300</w:t>
            </w:r>
          </w:p>
        </w:tc>
        <w:tc>
          <w:tcPr/>
          <w:p>
            <w:pPr>
              <w:pStyle w:val="Compact"/>
            </w:pPr>
          </w:p>
        </w:tc>
      </w:tr>
      <w:tr>
        <w:tc>
          <w:tcPr/>
          <w:p>
            <w:pPr>
              <w:pStyle w:val="Compact"/>
              <w:jc w:val="left"/>
            </w:pPr>
            <w:r>
              <w:t xml:space="preserve">+15.0%</w:t>
            </w:r>
          </w:p>
        </w:tc>
        <w:tc>
          <w:tcPr/>
          <w:p>
            <w:pPr>
              <w:pStyle w:val="Compact"/>
            </w:pPr>
          </w:p>
        </w:tc>
        <w:tc>
          <w:tcPr/>
          <w:p>
            <w:pPr>
              <w:pStyle w:val="Compact"/>
            </w:pPr>
          </w:p>
        </w:tc>
        <w:tc>
          <w:tcPr/>
          <w:p>
            <w:pPr>
              <w:pStyle w:val="Compact"/>
            </w:pPr>
          </w:p>
        </w:tc>
      </w:tr>
    </w:tbl>
    <w:p>
      <w:pPr>
        <w:pStyle w:val="BodyText"/>
      </w:pPr>
      <w:r>
        <w:t xml:space="preserve">The Sales Report confirms that our Librarian-driven initiatives directly contributed to these results. In Malaysia Kuala Lumpur, where public library funding has been stagnant since 2021, this revenue diversification strategy—led by our skilled Librarian team—has created financial resilience while expanding community impact.</w:t>
      </w:r>
    </w:p>
    <w:bookmarkEnd w:id="21"/>
    <w:bookmarkStart w:id="25" w:name="Xd2cb2b649e0bcdf45481e89828de1a6ce7748d1"/>
    <w:p>
      <w:pPr>
        <w:pStyle w:val="Heading2"/>
      </w:pPr>
      <w:r>
        <w:t xml:space="preserve">III. Revenue Stream Analysis: Malaysia Kuala Lumpur Context</w:t>
      </w:r>
    </w:p>
    <w:bookmarkStart w:id="22" w:name="Xdf5be5ad66e7bdd2562d8aacc6516eeef8c1e7a"/>
    <w:p>
      <w:pPr>
        <w:pStyle w:val="Heading3"/>
      </w:pPr>
      <w:r>
        <w:t xml:space="preserve">A. Bookstore Operations (35% of Total Revenue)</w:t>
      </w:r>
    </w:p>
    <w:p>
      <w:pPr>
        <w:pStyle w:val="FirstParagraph"/>
      </w:pPr>
      <w:r>
        <w:t xml:space="preserve">Our library bookstores in KL Central, Bukit Bintang, and Petaling Jaya achieved RM 640K in Q3—up 22% from last year. This success stems from three Librarian-led strategies:</w:t>
      </w:r>
    </w:p>
    <w:p>
      <w:pPr>
        <w:numPr>
          <w:ilvl w:val="0"/>
          <w:numId w:val="1001"/>
        </w:numPr>
        <w:pStyle w:val="Compact"/>
      </w:pPr>
      <w:r>
        <w:rPr>
          <w:iCs/>
          <w:i/>
        </w:rPr>
        <w:t xml:space="preserve">Localized Stock Curation:</w:t>
      </w:r>
      <w:r>
        <w:t xml:space="preserve"> </w:t>
      </w:r>
      <w:r>
        <w:t xml:space="preserve">Our Librarian team analyzed Malaysian reading habits, prioritizing Malay-language novels by local authors and English business titles relevant to KL's corporate hub. Sales of "Kota Bunga" (a KL-based novel series) surged 140%.</w:t>
      </w:r>
    </w:p>
    <w:p>
      <w:pPr>
        <w:numPr>
          <w:ilvl w:val="0"/>
          <w:numId w:val="1001"/>
        </w:numPr>
        <w:pStyle w:val="Compact"/>
      </w:pPr>
      <w:r>
        <w:rPr>
          <w:iCs/>
          <w:i/>
        </w:rPr>
        <w:t xml:space="preserve">Corporate Partnerships:</w:t>
      </w:r>
      <w:r>
        <w:t xml:space="preserve"> </w:t>
      </w:r>
      <w:r>
        <w:t xml:space="preserve">The Librarian team secured agreements with 12 KL-based companies for employee discount programs, generating RM 98K in bulk sales.</w:t>
      </w:r>
    </w:p>
    <w:p>
      <w:pPr>
        <w:numPr>
          <w:ilvl w:val="0"/>
          <w:numId w:val="1001"/>
        </w:numPr>
        <w:pStyle w:val="Compact"/>
      </w:pPr>
      <w:r>
        <w:rPr>
          <w:iCs/>
          <w:i/>
        </w:rPr>
        <w:t xml:space="preserve">Digital-Physical Hybrid Model:</w:t>
      </w:r>
      <w:r>
        <w:t xml:space="preserve"> </w:t>
      </w:r>
      <w:r>
        <w:t xml:space="preserve">Librarians introduced QR-coded "book companion" kits (physical books + audio guides) sold at premium pricing, attracting tourists and expats in Malaysia Kuala Lumpur.</w:t>
      </w:r>
    </w:p>
    <w:bookmarkEnd w:id="22"/>
    <w:bookmarkStart w:id="23" w:name="X531a0e414e525075dfb06f8f64026536cf60462"/>
    <w:p>
      <w:pPr>
        <w:pStyle w:val="Heading3"/>
      </w:pPr>
      <w:r>
        <w:t xml:space="preserve">B. Cultural Events &amp; Workshops (45% of Revenue)</w:t>
      </w:r>
    </w:p>
    <w:p>
      <w:pPr>
        <w:pStyle w:val="FirstParagraph"/>
      </w:pPr>
      <w:r>
        <w:t xml:space="preserve">The Librarian team designed revenue-generating cultural programs deeply rooted in Malaysia's multicultural identity:</w:t>
      </w:r>
    </w:p>
    <w:p>
      <w:pPr>
        <w:numPr>
          <w:ilvl w:val="0"/>
          <w:numId w:val="1002"/>
        </w:numPr>
        <w:pStyle w:val="Compact"/>
      </w:pPr>
      <w:r>
        <w:t xml:space="preserve">Traditional Malay calligraphy workshops at Central Library: 128 sessions, RM 360K revenue</w:t>
      </w:r>
    </w:p>
    <w:p>
      <w:pPr>
        <w:numPr>
          <w:ilvl w:val="0"/>
          <w:numId w:val="1002"/>
        </w:numPr>
        <w:pStyle w:val="Compact"/>
      </w:pPr>
      <w:r>
        <w:t xml:space="preserve">Business English seminars for KL entrepreneurs: Partnered with MDEC (Malaysia Digital Economy Corporation), generating RM 420K</w:t>
      </w:r>
    </w:p>
    <w:p>
      <w:pPr>
        <w:numPr>
          <w:ilvl w:val="0"/>
          <w:numId w:val="1002"/>
        </w:numPr>
        <w:pStyle w:val="Compact"/>
      </w:pPr>
      <w:r>
        <w:t xml:space="preserve">"Heritage Nights" celebrating Chinese New Year and Hari Raya at branches across Petaling Jaya and Bangsar: 8,200 attendees, RM 515K revenue</w:t>
      </w:r>
    </w:p>
    <w:p>
      <w:pPr>
        <w:pStyle w:val="FirstParagraph"/>
      </w:pPr>
      <w:r>
        <w:t xml:space="preserve">As highlighted in our Sales Report, these programs uniquely position KL Public Library as a community hub—not just a resource center—while leveraging Malaysia's cultural diversity for commercial viability.</w:t>
      </w:r>
    </w:p>
    <w:bookmarkEnd w:id="23"/>
    <w:bookmarkStart w:id="24" w:name="X4bd0954594909583ce7437ad4b2912f1f604eb4"/>
    <w:p>
      <w:pPr>
        <w:pStyle w:val="Heading3"/>
      </w:pPr>
      <w:r>
        <w:t xml:space="preserve">C. Membership &amp; Subscription Services (20% of Revenue)</w:t>
      </w:r>
    </w:p>
    <w:p>
      <w:pPr>
        <w:pStyle w:val="FirstParagraph"/>
      </w:pPr>
      <w:r>
        <w:t xml:space="preserve">The Librarian team overhauled our digital membership system to include tiered pricing (Basic, Premium, Family), directly responding to demand in Malaysia Kuala Lumpur's growing middle class:</w:t>
      </w:r>
    </w:p>
    <w:p>
      <w:pPr>
        <w:numPr>
          <w:ilvl w:val="0"/>
          <w:numId w:val="1003"/>
        </w:numPr>
        <w:pStyle w:val="Compact"/>
      </w:pPr>
      <w:r>
        <w:t xml:space="preserve">Premium members (RM 150/year) gained access to exclusive e-book collections and event priority: 42% adoption rate</w:t>
      </w:r>
    </w:p>
    <w:p>
      <w:pPr>
        <w:numPr>
          <w:ilvl w:val="0"/>
          <w:numId w:val="1003"/>
        </w:numPr>
        <w:pStyle w:val="Compact"/>
      </w:pPr>
      <w:r>
        <w:t xml:space="preserve">Corporate memberships for KL-based SMEs: 37 new clients, RM 89K revenue</w:t>
      </w:r>
    </w:p>
    <w:p>
      <w:pPr>
        <w:pStyle w:val="FirstParagraph"/>
      </w:pPr>
      <w:r>
        <w:t xml:space="preserve">This subscription model has proven particularly effective in Malaysia Kuala Lumpur where urban professionals seek premium learning experiences beyond basic library services.</w:t>
      </w:r>
    </w:p>
    <w:bookmarkEnd w:id="24"/>
    <w:bookmarkEnd w:id="25"/>
    <w:bookmarkStart w:id="26" w:name="X5381aa38d1be5c50056169e0cb9aa2af812e52f"/>
    <w:p>
      <w:pPr>
        <w:pStyle w:val="Heading2"/>
      </w:pPr>
      <w:r>
        <w:t xml:space="preserve">IV. Challenges &amp; Strategic Response in Malaysia Kuala Lumpur Market</w:t>
      </w:r>
    </w:p>
    <w:p>
      <w:pPr>
        <w:pStyle w:val="FirstParagraph"/>
      </w:pPr>
      <w:r>
        <w:t xml:space="preserve">Our Librarian team identified three key challenges unique to the Malaysia Kuala Lumpur context:</w:t>
      </w:r>
    </w:p>
    <w:p>
      <w:pPr>
        <w:numPr>
          <w:ilvl w:val="0"/>
          <w:numId w:val="1004"/>
        </w:numPr>
        <w:pStyle w:val="Compact"/>
      </w:pPr>
      <w:r>
        <w:rPr>
          <w:bCs/>
          <w:b/>
        </w:rPr>
        <w:t xml:space="preserve">Tourism Competition:</w:t>
      </w:r>
      <w:r>
        <w:t xml:space="preserve"> </w:t>
      </w:r>
      <w:r>
        <w:t xml:space="preserve">Hotel bookshops and airport kiosks were cannibalizing our sales. The Librarian response: Created KL-themed "City Explorer" bundles (books + maps + museum discounts) sold exclusively at library branches, capturing tourism revenue.</w:t>
      </w:r>
    </w:p>
    <w:p>
      <w:pPr>
        <w:numPr>
          <w:ilvl w:val="0"/>
          <w:numId w:val="1004"/>
        </w:numPr>
        <w:pStyle w:val="Compact"/>
      </w:pPr>
      <w:r>
        <w:rPr>
          <w:bCs/>
          <w:b/>
        </w:rPr>
        <w:t xml:space="preserve">Digital Disruption:</w:t>
      </w:r>
      <w:r>
        <w:t xml:space="preserve"> </w:t>
      </w:r>
      <w:r>
        <w:t xml:space="preserve">Declining physical book sales nationwide. Librarian strategy: Launched "Digital Literacy Passes" for seniors—combining e-book access with 1:1 coaching sessions (RM 25/session), generating RM 68K in Q3.</w:t>
      </w:r>
    </w:p>
    <w:p>
      <w:pPr>
        <w:numPr>
          <w:ilvl w:val="0"/>
          <w:numId w:val="1004"/>
        </w:numPr>
        <w:pStyle w:val="Compact"/>
      </w:pPr>
      <w:r>
        <w:rPr>
          <w:bCs/>
          <w:b/>
        </w:rPr>
        <w:t xml:space="preserve">Cultural Sensitivity:</w:t>
      </w:r>
      <w:r>
        <w:t xml:space="preserve"> </w:t>
      </w:r>
      <w:r>
        <w:t xml:space="preserve">Initial low uptake of Malay-language content. Librarian-led community consultations across KL neighborhoods adjusted marketing to feature local authors, increasing sales by 34%.</w:t>
      </w:r>
    </w:p>
    <w:bookmarkEnd w:id="26"/>
    <w:bookmarkStart w:id="27" w:name="Xbd29ee2b3ce9b6b9094a1e8dc279bba134dc9f7"/>
    <w:p>
      <w:pPr>
        <w:pStyle w:val="Heading2"/>
      </w:pPr>
      <w:r>
        <w:t xml:space="preserve">V. Future Strategy: Librarian-Driven Growth Roadmap</w:t>
      </w:r>
    </w:p>
    <w:p>
      <w:pPr>
        <w:pStyle w:val="FirstParagraph"/>
      </w:pPr>
      <w:r>
        <w:t xml:space="preserve">Based on this Sales Report, our Librarian team proposes three priorities for Malaysia Kuala Lumpur:</w:t>
      </w:r>
    </w:p>
    <w:p>
      <w:pPr>
        <w:numPr>
          <w:ilvl w:val="0"/>
          <w:numId w:val="1005"/>
        </w:numPr>
        <w:pStyle w:val="Compact"/>
      </w:pPr>
      <w:r>
        <w:rPr>
          <w:iCs/>
          <w:i/>
        </w:rPr>
        <w:t xml:space="preserve">Expansion of "KL Heritage Series":</w:t>
      </w:r>
      <w:r>
        <w:t xml:space="preserve"> </w:t>
      </w:r>
      <w:r>
        <w:t xml:space="preserve">Develop 10 new locally-written titles co-branded with KL cultural institutions. Target: RM 500K annual revenue by Q2 2024.</w:t>
      </w:r>
    </w:p>
    <w:p>
      <w:pPr>
        <w:numPr>
          <w:ilvl w:val="0"/>
          <w:numId w:val="1005"/>
        </w:numPr>
        <w:pStyle w:val="Compact"/>
      </w:pPr>
      <w:r>
        <w:rPr>
          <w:iCs/>
          <w:i/>
        </w:rPr>
        <w:t xml:space="preserve">Corporate Engagement Program:</w:t>
      </w:r>
      <w:r>
        <w:t xml:space="preserve"> </w:t>
      </w:r>
      <w:r>
        <w:t xml:space="preserve">Partner with KL's top 50 companies for customized learning packages. Target: 25 new corporate clients in FY2024.</w:t>
      </w:r>
    </w:p>
    <w:p>
      <w:pPr>
        <w:numPr>
          <w:ilvl w:val="0"/>
          <w:numId w:val="1005"/>
        </w:numPr>
        <w:pStyle w:val="Compact"/>
      </w:pPr>
      <w:r>
        <w:rPr>
          <w:iCs/>
          <w:i/>
        </w:rPr>
        <w:t xml:space="preserve">Regional Franchise Model:</w:t>
      </w:r>
      <w:r>
        <w:t xml:space="preserve"> </w:t>
      </w:r>
      <w:r>
        <w:t xml:space="preserve">License our successful Librarian-curated bookstore concept to libraries in Penang and Johor Bahru, leveraging Malaysia Kuala Lumpur's proven model.</w:t>
      </w:r>
    </w:p>
    <w:p>
      <w:pPr>
        <w:pStyle w:val="FirstParagraph"/>
      </w:pPr>
      <w:r>
        <w:t xml:space="preserve">This roadmap ensures the Librarian team remains central to revenue growth while strengthening community ties across Malaysia. Our data confirms that when librarians actively engage with local market dynamics—as demonstrated in this Sales Report—they transform public assets into sustainable enterprises.</w:t>
      </w:r>
    </w:p>
    <w:bookmarkEnd w:id="27"/>
    <w:bookmarkStart w:id="28" w:name="vi.-conclusion"/>
    <w:p>
      <w:pPr>
        <w:pStyle w:val="Heading2"/>
      </w:pPr>
      <w:r>
        <w:t xml:space="preserve">VI. Conclusion</w:t>
      </w:r>
    </w:p>
    <w:p>
      <w:pPr>
        <w:pStyle w:val="FirstParagraph"/>
      </w:pPr>
      <w:r>
        <w:t xml:space="preserve">The Q3 2023 Sales Report proves that a strategic Librarian role is indispensable for financial viability in modern public libraries, especially within Malaysia Kuala Lumpur's competitive urban ecosystem. By focusing on hyper-localized offerings—rooted in Malaysian culture and responsive to KL's economic pulse—the KLPB system achieved revenue growth where others have stagnated. Our Librarian team didn't just manage services; they engineered market opportunities that align public service with community prosperity.</w:t>
      </w:r>
    </w:p>
    <w:p>
      <w:pPr>
        <w:pStyle w:val="BodyText"/>
      </w:pPr>
      <w:r>
        <w:t xml:space="preserve">As we enter the holiday season, our Sales Report confirms strong momentum for Q4 2023. With strategic initiatives led by dedicated Librarians across Malaysia Kuala Lumpur, we project an additional 15% revenue increase while deepening our role as cultural and economic catalysts. This is not merely a Sales Report—it's evidence that when libraries embrace commercial acumen through their Librarian professionals, they become indispensable pillars of thriving Malaysian communities.</w:t>
      </w:r>
    </w:p>
    <w:p>
      <w:pPr>
        <w:pStyle w:val="BodyText"/>
      </w:pPr>
      <w:r>
        <w:rPr>
          <w:bCs/>
          <w:b/>
        </w:rPr>
        <w:t xml:space="preserve">Submitted By:</w:t>
      </w:r>
      <w:r>
        <w:t xml:space="preserve"> </w:t>
      </w:r>
      <w:r>
        <w:t xml:space="preserve">Aisha Rahman, Head Librarian</w:t>
      </w:r>
      <w:r>
        <w:br/>
      </w:r>
      <w:r>
        <w:rPr>
          <w:bCs/>
          <w:b/>
        </w:rPr>
        <w:t xml:space="preserve">Kuala Lumpur Public Library System</w:t>
      </w:r>
      <w:r>
        <w:br/>
      </w:r>
      <w:r>
        <w:rPr>
          <w:iCs/>
          <w:i/>
        </w:rPr>
        <w:t xml:space="preserve">"Enriching Knowledge. Empowering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Library Sales Performance Report</dc:title>
  <dc:creator/>
  <dc:language>en</dc:language>
  <cp:keywords/>
  <dcterms:created xsi:type="dcterms:W3CDTF">2025-12-10T00:09:19Z</dcterms:created>
  <dcterms:modified xsi:type="dcterms:W3CDTF">2025-12-10T00:09:19Z</dcterms:modified>
</cp:coreProperties>
</file>

<file path=docProps/custom.xml><?xml version="1.0" encoding="utf-8"?>
<Properties xmlns="http://schemas.openxmlformats.org/officeDocument/2006/custom-properties" xmlns:vt="http://schemas.openxmlformats.org/officeDocument/2006/docPropsVTypes"/>
</file>