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cd9a27192987c5939f55f838a1108e019489fbe"/>
    <w:p>
      <w:pPr>
        <w:pStyle w:val="Heading1"/>
      </w:pPr>
      <w:r>
        <w:t xml:space="preserve">Monthly Service Utilization &amp; Community Engagement Sales Report: Librarian Department,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Manila City Library Management &amp; Philippine National Library Board</w:t>
      </w:r>
      <w:r>
        <w:br/>
      </w:r>
      <w:r>
        <w:rPr>
          <w:bCs/>
          <w:b/>
        </w:rPr>
        <w:t xml:space="preserve">Reporting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Librarian Department within Manila's public library system, reflecting on community service metrics aligned with Philippine national education goals under Republic Act No. 9767 (Philippine National Library Act). Contrary to conventional sales models, our "sales" represent information service utilization, resource circulation, and community engagement – critical KPIs for Philippine librarianship that directly support national literacy initiatives. This report demonstrates a 12.3% increase in service uptake across Manila branch locations compared to August 2023, exceeding the Department of Education's (DepEd) target by 4.7%.</w:t>
      </w:r>
    </w:p>
    <w:bookmarkEnd w:id="20"/>
    <w:bookmarkStart w:id="21" w:name="ii.-manila-specific-performance-metrics"/>
    <w:p>
      <w:pPr>
        <w:pStyle w:val="Heading2"/>
      </w:pPr>
      <w:r>
        <w:t xml:space="preserve">II. Manila-Specific Performance Metrics</w:t>
      </w:r>
    </w:p>
    <w:p>
      <w:pPr>
        <w:pStyle w:val="FirstParagraph"/>
      </w:pPr>
      <w:r>
        <w:t xml:space="preserve">As a Librarian operating within the vibrant urban ecosystem of Manila, our department has prioritized accessibility for diverse communities including:</w:t>
      </w:r>
      <w:r>
        <w:t xml:space="preserve"> </w:t>
      </w:r>
      <w:r>
        <w:t xml:space="preserve">• University students from Ateneo de Manila &amp; UP Diliman</w:t>
      </w:r>
      <w:r>
        <w:t xml:space="preserve"> </w:t>
      </w:r>
      <w:r>
        <w:t xml:space="preserve">• Barangay learners in Quezon City and Ermita districts</w:t>
      </w:r>
      <w:r>
        <w:t xml:space="preserve"> </w:t>
      </w:r>
      <w:r>
        <w:t xml:space="preserve">• Senior citizens accessing digital literacy programs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September 2023 (Manila)</w:t>
            </w:r>
          </w:p>
        </w:tc>
        <w:tc>
          <w:tcPr/>
          <w:p>
            <w:pPr>
              <w:pStyle w:val="Compact"/>
              <w:jc w:val="left"/>
            </w:pPr>
            <w:r>
              <w:t xml:space="preserve">August 2023 (Manila)</w:t>
            </w:r>
          </w:p>
        </w:tc>
        <w:tc>
          <w:tcPr/>
          <w:p>
            <w:pPr>
              <w:pStyle w:val="Compact"/>
              <w:jc w:val="left"/>
            </w:pPr>
            <w:r>
              <w:t xml:space="preserve">% Change</w:t>
            </w:r>
          </w:p>
        </w:tc>
      </w:tr>
      <w:tr>
        <w:tc>
          <w:tcPr/>
          <w:p>
            <w:pPr>
              <w:pStyle w:val="Compact"/>
              <w:jc w:val="left"/>
            </w:pPr>
            <w:r>
              <w:t xml:space="preserve">Total Book Circulation</w:t>
            </w:r>
          </w:p>
        </w:tc>
        <w:tc>
          <w:tcPr/>
          <w:p>
            <w:pPr>
              <w:pStyle w:val="Compact"/>
              <w:jc w:val="left"/>
            </w:pPr>
            <w:r>
              <w:t xml:space="preserve">48,750</w:t>
            </w:r>
          </w:p>
        </w:tc>
        <w:tc>
          <w:tcPr/>
          <w:p>
            <w:pPr>
              <w:pStyle w:val="Compact"/>
              <w:jc w:val="left"/>
            </w:pPr>
            <w:r>
              <w:t xml:space="preserve">41,600</w:t>
            </w:r>
          </w:p>
        </w:tc>
        <w:tc>
          <w:tcPr/>
          <w:p>
            <w:pPr>
              <w:pStyle w:val="Compact"/>
              <w:jc w:val="left"/>
            </w:pPr>
            <w:r>
              <w:t xml:space="preserve">+17.2%</w:t>
            </w:r>
          </w:p>
        </w:tc>
      </w:tr>
      <w:tr>
        <w:tc>
          <w:tcPr/>
          <w:p>
            <w:pPr>
              <w:pStyle w:val="Compact"/>
              <w:jc w:val="left"/>
            </w:pPr>
            <w:r>
              <w:t xml:space="preserve">Digital Resource Access (E-Books, Journals)</w:t>
            </w:r>
          </w:p>
        </w:tc>
        <w:tc>
          <w:tcPr/>
          <w:p>
            <w:pPr>
              <w:pStyle w:val="Compact"/>
              <w:jc w:val="left"/>
            </w:pPr>
            <w:r>
              <w:t xml:space="preserve">32,180 sessions</w:t>
            </w:r>
          </w:p>
        </w:tc>
        <w:tc>
          <w:tcPr/>
          <w:p>
            <w:pPr>
              <w:pStyle w:val="Compact"/>
              <w:jc w:val="left"/>
            </w:pPr>
            <w:r>
              <w:t xml:space="preserve">26,500 sessions</w:t>
            </w:r>
          </w:p>
        </w:tc>
        <w:tc>
          <w:tcPr/>
          <w:p>
            <w:pPr>
              <w:pStyle w:val="Compact"/>
              <w:jc w:val="left"/>
            </w:pPr>
            <w:r>
              <w:t xml:space="preserve">+21.4%</w:t>
            </w:r>
          </w:p>
        </w:tc>
      </w:tr>
      <w:tr>
        <w:tc>
          <w:tcPr/>
          <w:p>
            <w:pPr>
              <w:pStyle w:val="Compact"/>
              <w:jc w:val="left"/>
            </w:pPr>
            <w:r>
              <w:t xml:space="preserve">Free Community Workshops (DepEd-Approved)</w:t>
            </w:r>
          </w:p>
        </w:tc>
        <w:tc>
          <w:tcPr/>
          <w:p>
            <w:pPr>
              <w:pStyle w:val="Compact"/>
              <w:jc w:val="left"/>
            </w:pPr>
            <w:r>
              <w:t xml:space="preserve">87 sessions</w:t>
            </w:r>
          </w:p>
        </w:tc>
        <w:tc>
          <w:tcPr/>
          <w:p>
            <w:pPr>
              <w:pStyle w:val="Compact"/>
              <w:jc w:val="left"/>
            </w:pPr>
            <w:r>
              <w:t xml:space="preserve">69 sessions</w:t>
            </w:r>
          </w:p>
        </w:tc>
        <w:tc>
          <w:tcPr/>
          <w:p>
            <w:pPr>
              <w:pStyle w:val="Compact"/>
              <w:jc w:val="left"/>
            </w:pPr>
            <w:r>
              <w:t xml:space="preserve">+26.1%</w:t>
            </w:r>
          </w:p>
        </w:tc>
      </w:tr>
      <w:tr>
        <w:tc>
          <w:tcPr/>
          <w:p>
            <w:pPr>
              <w:pStyle w:val="Compact"/>
              <w:jc w:val="left"/>
            </w:pPr>
            <w:r>
              <w:t xml:space="preserve">New Library Card Registrations</w:t>
            </w:r>
          </w:p>
        </w:tc>
        <w:tc>
          <w:tcPr/>
          <w:p>
            <w:pPr>
              <w:pStyle w:val="Compact"/>
              <w:jc w:val="left"/>
            </w:pPr>
            <w:r>
              <w:t xml:space="preserve">5,420 (Manila residents)</w:t>
            </w:r>
          </w:p>
        </w:tc>
        <w:tc>
          <w:tcPr/>
          <w:p>
            <w:pPr>
              <w:pStyle w:val="Compact"/>
              <w:jc w:val="left"/>
            </w:pPr>
            <w:r>
              <w:t xml:space="preserve">4,890</w:t>
            </w:r>
          </w:p>
        </w:tc>
        <w:tc>
          <w:tcPr/>
          <w:p>
            <w:pPr>
              <w:pStyle w:val="Compact"/>
              <w:jc w:val="left"/>
            </w:pPr>
            <w:r>
              <w:t xml:space="preserve">+10.8%</w:t>
            </w:r>
          </w:p>
        </w:tc>
      </w:tr>
    </w:tbl>
    <w:bookmarkEnd w:id="21"/>
    <w:bookmarkStart w:id="22" w:name="Xf3809e9322d43b0b22bc03a8479eec256fcd30a"/>
    <w:p>
      <w:pPr>
        <w:pStyle w:val="Heading2"/>
      </w:pPr>
      <w:r>
        <w:t xml:space="preserve">III. Sales Report Analysis: Librarian Department's Value Proposition in Manila Context</w:t>
      </w:r>
    </w:p>
    <w:p>
      <w:pPr>
        <w:pStyle w:val="FirstParagraph"/>
      </w:pPr>
      <w:r>
        <w:t xml:space="preserve">In the Philippines, librarians are not salespeople but information catalysts. This "Sales Report" reframes traditional metrics to reflect our strategic role in supporting Manila’s educational infrastructure:</w:t>
      </w:r>
    </w:p>
    <w:p>
      <w:pPr>
        <w:numPr>
          <w:ilvl w:val="0"/>
          <w:numId w:val="1001"/>
        </w:numPr>
        <w:pStyle w:val="Compact"/>
      </w:pPr>
      <w:r>
        <w:rPr>
          <w:bCs/>
          <w:b/>
        </w:rPr>
        <w:t xml:space="preserve">Resource Utilization as Service Sales:</w:t>
      </w:r>
      <w:r>
        <w:t xml:space="preserve"> </w:t>
      </w:r>
      <w:r>
        <w:t xml:space="preserve">The 17.2% increase in book circulation directly correlates with the National Literacy Campaign (NLC) goals set by the Department of Education. For every 10 books circulated, we effectively "sell" knowledge access to a Manila resident – especially critical in communities with limited home libraries.</w:t>
      </w:r>
    </w:p>
    <w:p>
      <w:pPr>
        <w:numPr>
          <w:ilvl w:val="0"/>
          <w:numId w:val="1001"/>
        </w:numPr>
        <w:pStyle w:val="Compact"/>
      </w:pPr>
      <w:r>
        <w:rPr>
          <w:bCs/>
          <w:b/>
        </w:rPr>
        <w:t xml:space="preserve">Digital Inclusion Sales:</w:t>
      </w:r>
      <w:r>
        <w:t xml:space="preserve"> </w:t>
      </w:r>
      <w:r>
        <w:t xml:space="preserve">The 21.4% surge in e-resource sessions reflects our success in bridging the digital divide for Manila's underserved populations. This aligns with the Philippine Digital Transformation Plan (PDT) and demonstrates how librarians enable access to government services like PhilHealth portals.</w:t>
      </w:r>
    </w:p>
    <w:p>
      <w:pPr>
        <w:numPr>
          <w:ilvl w:val="0"/>
          <w:numId w:val="1001"/>
        </w:numPr>
        <w:pStyle w:val="Compact"/>
      </w:pPr>
      <w:r>
        <w:rPr>
          <w:bCs/>
          <w:b/>
        </w:rPr>
        <w:t xml:space="preserve">Community Engagement as Revenue-Generating Service:</w:t>
      </w:r>
      <w:r>
        <w:t xml:space="preserve"> </w:t>
      </w:r>
      <w:r>
        <w:t xml:space="preserve">Our 87 workshops (including resume writing, UP entrance exam prep, and senior citizen tech tutorials) generated community value equivalent to P2.1M in avoided social service costs – a "sale" of civic empowerment that directly supports Manila's poverty reduction initiatives.</w:t>
      </w:r>
    </w:p>
    <w:bookmarkEnd w:id="22"/>
    <w:bookmarkStart w:id="23" w:name="X3ed6619c8baecd9aa3e7bafb62e13d4aa4e5799"/>
    <w:p>
      <w:pPr>
        <w:pStyle w:val="Heading2"/>
      </w:pPr>
      <w:r>
        <w:t xml:space="preserve">IV. Key Achievements Supporting Philippine National Objectives</w:t>
      </w:r>
    </w:p>
    <w:p>
      <w:pPr>
        <w:pStyle w:val="FirstParagraph"/>
      </w:pPr>
      <w:r>
        <w:t xml:space="preserve">This Librarian department’s performance delivers tangible value to the Philippines Manila ecosystem:</w:t>
      </w:r>
    </w:p>
    <w:p>
      <w:pPr>
        <w:numPr>
          <w:ilvl w:val="0"/>
          <w:numId w:val="1002"/>
        </w:numPr>
        <w:pStyle w:val="Compact"/>
      </w:pPr>
      <w:r>
        <w:rPr>
          <w:bCs/>
          <w:b/>
        </w:rPr>
        <w:t xml:space="preserve">Supporting DepEd 10-Year Strategic Plan:</w:t>
      </w:r>
      <w:r>
        <w:t xml:space="preserve"> </w:t>
      </w:r>
      <w:r>
        <w:t xml:space="preserve">Our collaboration with 42 public schools in Manila (e.g., San Juan City Elementary) provided curriculum-aligned resources, contributing to a measurable 8.3% increase in student research quality assessments at partner institutions.</w:t>
      </w:r>
    </w:p>
    <w:p>
      <w:pPr>
        <w:numPr>
          <w:ilvl w:val="0"/>
          <w:numId w:val="1002"/>
        </w:numPr>
        <w:pStyle w:val="Compact"/>
      </w:pPr>
      <w:r>
        <w:rPr>
          <w:bCs/>
          <w:b/>
        </w:rPr>
        <w:t xml:space="preserve">Advancing SDG #4 (Quality Education):</w:t>
      </w:r>
      <w:r>
        <w:t xml:space="preserve"> </w:t>
      </w:r>
      <w:r>
        <w:t xml:space="preserve">By providing free access to academic journals and research databases, we enabled 1,200 Manila students from low-income families to complete university-level projects – a critical "sale" of opportunity that aligns with UN Sustainable Development Goals.</w:t>
      </w:r>
    </w:p>
    <w:p>
      <w:pPr>
        <w:numPr>
          <w:ilvl w:val="0"/>
          <w:numId w:val="1002"/>
        </w:numPr>
        <w:pStyle w:val="Compact"/>
      </w:pPr>
      <w:r>
        <w:rPr>
          <w:bCs/>
          <w:b/>
        </w:rPr>
        <w:t xml:space="preserve">Preserving Philippine Heritage:</w:t>
      </w:r>
      <w:r>
        <w:t xml:space="preserve"> </w:t>
      </w:r>
      <w:r>
        <w:t xml:space="preserve">The digitization of 2,450 historical Manila documents (e.g., Fort Santiago archives) created an accessible digital collection used by 1,800 researchers – turning cultural "inventory" into a valued community resource.</w:t>
      </w:r>
    </w:p>
    <w:bookmarkEnd w:id="23"/>
    <w:bookmarkStart w:id="24" w:name="X271f4f43eabe78c300bf26df146e26d0c582374"/>
    <w:p>
      <w:pPr>
        <w:pStyle w:val="Heading2"/>
      </w:pPr>
      <w:r>
        <w:t xml:space="preserve">V. Challenges &amp; Manila-Specific Constraints</w:t>
      </w:r>
    </w:p>
    <w:p>
      <w:pPr>
        <w:pStyle w:val="FirstParagraph"/>
      </w:pPr>
      <w:r>
        <w:t xml:space="preserve">Operating as a Librarian in Manila presents unique challenges that impact our service metrics:</w:t>
      </w:r>
    </w:p>
    <w:p>
      <w:pPr>
        <w:numPr>
          <w:ilvl w:val="0"/>
          <w:numId w:val="1003"/>
        </w:numPr>
        <w:pStyle w:val="Compact"/>
      </w:pPr>
      <w:r>
        <w:rPr>
          <w:bCs/>
          <w:b/>
        </w:rPr>
        <w:t xml:space="preserve">Infrastructure Limitations:</w:t>
      </w:r>
      <w:r>
        <w:t xml:space="preserve"> </w:t>
      </w:r>
      <w:r>
        <w:t xml:space="preserve">35% of Manila branches lack sufficient power backups for digital systems, causing 12.6% monthly downtime during typhoon season – directly affecting e-resource "sales" capacity.</w:t>
      </w:r>
    </w:p>
    <w:p>
      <w:pPr>
        <w:numPr>
          <w:ilvl w:val="0"/>
          <w:numId w:val="1003"/>
        </w:numPr>
        <w:pStyle w:val="Compact"/>
      </w:pPr>
      <w:r>
        <w:rPr>
          <w:bCs/>
          <w:b/>
        </w:rPr>
        <w:t xml:space="preserve">Funding Gaps:</w:t>
      </w:r>
      <w:r>
        <w:t xml:space="preserve"> </w:t>
      </w:r>
      <w:r>
        <w:t xml:space="preserve">Despite a 7.2% increase in municipal budget allocation, it remains below the Philippine Library Association (PLA) recommended benchmark of 0.5% of Manila’s annual budget for library services.</w:t>
      </w:r>
    </w:p>
    <w:p>
      <w:pPr>
        <w:numPr>
          <w:ilvl w:val="0"/>
          <w:numId w:val="1003"/>
        </w:numPr>
        <w:pStyle w:val="Compact"/>
      </w:pPr>
      <w:r>
        <w:rPr>
          <w:bCs/>
          <w:b/>
        </w:rPr>
        <w:t xml:space="preserve">Urban Demographic Pressures:</w:t>
      </w:r>
      <w:r>
        <w:t xml:space="preserve"> </w:t>
      </w:r>
      <w:r>
        <w:t xml:space="preserve">High population density in Manila requires resource allocation to outlying communities like Tondo and Santa Ana, stretching staff capacity across 32 branches despite a 19% increase in patron requests.</w:t>
      </w:r>
    </w:p>
    <w:bookmarkEnd w:id="24"/>
    <w:bookmarkStart w:id="25" w:name="Xf6467b9509a432ab6dc76d42f2528c21fd9daa3"/>
    <w:p>
      <w:pPr>
        <w:pStyle w:val="Heading2"/>
      </w:pPr>
      <w:r>
        <w:t xml:space="preserve">VI. Recommendations for Enhanced Service "Sales" Performance</w:t>
      </w:r>
    </w:p>
    <w:p>
      <w:pPr>
        <w:pStyle w:val="FirstParagraph"/>
      </w:pPr>
      <w:r>
        <w:t xml:space="preserve">To elevate our Librarian Department’s impact within the Philippines Manila framework, we propose:</w:t>
      </w:r>
    </w:p>
    <w:p>
      <w:pPr>
        <w:numPr>
          <w:ilvl w:val="0"/>
          <w:numId w:val="1004"/>
        </w:numPr>
        <w:pStyle w:val="Compact"/>
      </w:pPr>
      <w:r>
        <w:rPr>
          <w:bCs/>
          <w:b/>
        </w:rPr>
        <w:t xml:space="preserve">Mobile Library Units:</w:t>
      </w:r>
      <w:r>
        <w:t xml:space="preserve"> </w:t>
      </w:r>
      <w:r>
        <w:t xml:space="preserve">Deploy 3 solar-powered bookmobiles to reach barangays without library access – projected to increase circulation by 15-20% in underserved areas.</w:t>
      </w:r>
    </w:p>
    <w:p>
      <w:pPr>
        <w:numPr>
          <w:ilvl w:val="0"/>
          <w:numId w:val="1004"/>
        </w:numPr>
        <w:pStyle w:val="Compact"/>
      </w:pPr>
      <w:r>
        <w:rPr>
          <w:bCs/>
          <w:b/>
        </w:rPr>
        <w:t xml:space="preserve">Philippine Digital Literacy Partnerships:</w:t>
      </w:r>
      <w:r>
        <w:t xml:space="preserve"> </w:t>
      </w:r>
      <w:r>
        <w:t xml:space="preserve">Formalize agreements with local telcos (Globe, Smart) for subsidized internet access during library workshops – directly addressing Manila's digital divide.</w:t>
      </w:r>
    </w:p>
    <w:p>
      <w:pPr>
        <w:numPr>
          <w:ilvl w:val="0"/>
          <w:numId w:val="1004"/>
        </w:numPr>
        <w:pStyle w:val="Compact"/>
      </w:pPr>
      <w:r>
        <w:rPr>
          <w:bCs/>
          <w:b/>
        </w:rPr>
        <w:t xml:space="preserve">Leverage National Events:</w:t>
      </w:r>
      <w:r>
        <w:t xml:space="preserve"> </w:t>
      </w:r>
      <w:r>
        <w:t xml:space="preserve">Align service "sales" campaigns with Philippine milestones (e.g., National Reading Month in October) to maximize community engagement through targeted promotions.</w:t>
      </w:r>
    </w:p>
    <w:bookmarkEnd w:id="25"/>
    <w:bookmarkStart w:id="26" w:name="X636df385899b75bedf33d69c1a63b6227881eab"/>
    <w:p>
      <w:pPr>
        <w:pStyle w:val="Heading2"/>
      </w:pPr>
      <w:r>
        <w:t xml:space="preserve">VII. Conclusion: The Librarian as Essential Community Catalyst</w:t>
      </w:r>
    </w:p>
    <w:p>
      <w:pPr>
        <w:pStyle w:val="FirstParagraph"/>
      </w:pPr>
      <w:r>
        <w:t xml:space="preserve">This Sales Report underscores that in Manila, Philippines, librarians are not selling products – we are facilitating knowledge equity. Every book circulated, every digital session completed, and every workshop held represents a measurable "sale" of opportunity within the Philippine socio-educational landscape. Our 12.3% service growth demonstrates how strategic library management directly supports national priorities like literacy targets and poverty reduction under the Manila City Government’s Sustainable Development Framework.</w:t>
      </w:r>
    </w:p>
    <w:p>
      <w:pPr>
        <w:pStyle w:val="BodyText"/>
      </w:pPr>
      <w:r>
        <w:t xml:space="preserve">As Librarians in the Philippines, we recognize that true success isn't measured by transaction volume alone – but by the number of Manila residents empowered to learn, grow, and contribute to our nation's future. This report validates our commitment to service excellence while highlighting how Philippine librarianship remains a critical investment in national development.</w:t>
      </w:r>
    </w:p>
    <w:p>
      <w:pPr>
        <w:pStyle w:val="BodyText"/>
      </w:pPr>
      <w:r>
        <w:rPr>
          <w:bCs/>
          <w:b/>
        </w:rPr>
        <w:t xml:space="preserve">Prepared By:</w:t>
      </w:r>
      <w:r>
        <w:t xml:space="preserve"> </w:t>
      </w:r>
      <w:r>
        <w:t xml:space="preserve">Maria Santos, Head Librarian | Manila City Library System</w:t>
      </w:r>
      <w:r>
        <w:br/>
      </w:r>
      <w:r>
        <w:rPr>
          <w:bCs/>
          <w:b/>
        </w:rPr>
        <w:t xml:space="preserve">Approved By:</w:t>
      </w:r>
      <w:r>
        <w:t xml:space="preserve"> </w:t>
      </w:r>
      <w:r>
        <w:t xml:space="preserve">Dr. Pedro Cruz, Director of Libraries &amp; Information Services | Philippines National Library Board</w:t>
      </w:r>
    </w:p>
    <w:p>
      <w:r>
        <w:pict>
          <v:rect style="width:0;height:1.5pt" o:hralign="center" o:hrstd="t" o:hr="t"/>
        </w:pict>
      </w:r>
    </w:p>
    <w:p>
      <w:pPr>
        <w:pStyle w:val="FirstParagraph"/>
      </w:pPr>
      <w:r>
        <w:t xml:space="preserve">This document complies with the Philippine Republic Act No. 9767 (National Library Act) and Manila Municipal Code Section 123A on Public Library Accountability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Philippines Manila</dc:title>
  <dc:creator/>
  <dc:language>en</dc:language>
  <cp:keywords/>
  <dcterms:created xsi:type="dcterms:W3CDTF">2025-12-12T13:33:33Z</dcterms:created>
  <dcterms:modified xsi:type="dcterms:W3CDTF">2025-12-12T13:33:33Z</dcterms:modified>
</cp:coreProperties>
</file>

<file path=docProps/custom.xml><?xml version="1.0" encoding="utf-8"?>
<Properties xmlns="http://schemas.openxmlformats.org/officeDocument/2006/custom-properties" xmlns:vt="http://schemas.openxmlformats.org/officeDocument/2006/docPropsVTypes"/>
</file>