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Solutions</w:t>
      </w:r>
      <w:r>
        <w:t xml:space="preserve"> </w:t>
      </w:r>
      <w:r>
        <w:t xml:space="preserve">in</w:t>
      </w:r>
      <w:r>
        <w:t xml:space="preserve"> </w:t>
      </w:r>
      <w:r>
        <w:t xml:space="preserve">Russia</w:t>
      </w:r>
      <w:r>
        <w:t xml:space="preserve"> </w:t>
      </w:r>
      <w:r>
        <w:t xml:space="preserve">Moscow</w:t>
      </w:r>
    </w:p>
    <w:bookmarkStart w:id="27" w:name="X53b49f8fcd02b586486fdac1e92ff848720fdd2"/>
    <w:p>
      <w:pPr>
        <w:pStyle w:val="Heading1"/>
      </w:pPr>
      <w:r>
        <w:t xml:space="preserve">Annual Sales Report: Library Management Solutions for Librarians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Library Solutions Executive Board</w:t>
      </w:r>
      <w:r>
        <w:br/>
      </w:r>
      <w:r>
        <w:rPr>
          <w:bCs/>
          <w:b/>
        </w:rPr>
        <w:t xml:space="preserve">Prepared By:</w:t>
      </w:r>
      <w:r>
        <w:t xml:space="preserve"> </w:t>
      </w:r>
      <w:r>
        <w:t xml:space="preserve">Moscow Regional Sales Team</w:t>
      </w:r>
    </w:p>
    <w:bookmarkStart w:id="20" w:name="i.-executive-summary"/>
    <w:p>
      <w:pPr>
        <w:pStyle w:val="Heading2"/>
      </w:pPr>
      <w:r>
        <w:t xml:space="preserve">I. Executive Summary</w:t>
      </w:r>
    </w:p>
    <w:p>
      <w:pPr>
        <w:pStyle w:val="FirstParagraph"/>
      </w:pPr>
      <w:r>
        <w:t xml:space="preserve">This comprehensive Sales Report details our strategic success in delivering innovative library management solutions to professional librarians across Russia Moscow during Q1-Q4 2023. Our market penetration strategy targeting academic and public libraries has yielded remarkable results, with a 147% year-over-year increase in revenue specifically attributed to librarian-driven institutional adoption. This report demonstrates how our tailored software suite—designed exclusively for the unique challenges faced by librarians in Russia Moscow—has become indispensable for modern library operations across the region.</w:t>
      </w:r>
    </w:p>
    <w:bookmarkEnd w:id="20"/>
    <w:bookmarkStart w:id="21" w:name="X53abc839561c4f76b8dd525f56c0f534d62248c"/>
    <w:p>
      <w:pPr>
        <w:pStyle w:val="Heading2"/>
      </w:pPr>
      <w:r>
        <w:t xml:space="preserve">II. Market Context: Librarians' Evolving Role in Russia Moscow</w:t>
      </w:r>
    </w:p>
    <w:p>
      <w:pPr>
        <w:pStyle w:val="FirstParagraph"/>
      </w:pPr>
      <w:r>
        <w:t xml:space="preserve">The library landscape in Russia Moscow has undergone significant transformation, particularly since 2020. With over 350 public and academic libraries operating under Moscow's Cultural Department, librarians now face unprecedented demands for digital literacy programs, multilingual resource access (Russian/English/Chinese), and compliance with new federal cultural preservation mandates. Our Sales Report confirms that 89% of surveyed Moscow librarians identified outdated systems as their top operational barrier—creating a massive opportunity for specialized solutions like ours.</w:t>
      </w:r>
    </w:p>
    <w:p>
      <w:pPr>
        <w:pStyle w:val="BodyText"/>
      </w:pPr>
      <w:r>
        <w:t xml:space="preserve">The Russian government's 2022 "Digital Library Initiative" has accelerated demand, requiring all Moscow-based libraries to implement modern cataloging systems by 2025. This regulatory shift positioned our Sales Team to become the primary solution provider for librarians navigating these changes, with our Moscow office serving as the operational nerve center for Russia's library technology market.</w:t>
      </w:r>
    </w:p>
    <w:bookmarkEnd w:id="21"/>
    <w:bookmarkStart w:id="22" w:name="Xee6250d37dea01319d2def52b6c43e8b5678276"/>
    <w:p>
      <w:pPr>
        <w:pStyle w:val="Heading2"/>
      </w:pPr>
      <w:r>
        <w:t xml:space="preserve">III. Sales Performance: Key Metrics in Russia Moscow</w:t>
      </w:r>
    </w:p>
    <w:p>
      <w:pPr>
        <w:pStyle w:val="FirstParagraph"/>
      </w:pPr>
      <w:r>
        <w:t xml:space="preserve">Quarter</w:t>
      </w:r>
    </w:p>
    <w:p>
      <w:pPr>
        <w:pStyle w:val="BodyText"/>
      </w:pPr>
      <w:r>
        <w:t xml:space="preserve">New Clients (Librarians/Institutions)</w:t>
      </w:r>
    </w:p>
    <w:p>
      <w:pPr>
        <w:pStyle w:val="BodyText"/>
      </w:pPr>
      <w:r>
        <w:t xml:space="preserve">Revenue Generated</w:t>
      </w:r>
    </w:p>
    <w:p>
      <w:pPr>
        <w:pStyle w:val="BodyText"/>
      </w:pPr>
      <w:r>
        <w:t xml:space="preserve">Key Product Adopted</w:t>
      </w:r>
    </w:p>
    <w:p>
      <w:pPr>
        <w:pStyle w:val="BodyText"/>
      </w:pPr>
      <w:r>
        <w:t xml:space="preserve">Q1 2023</w:t>
      </w:r>
    </w:p>
    <w:p>
      <w:pPr>
        <w:pStyle w:val="BodyText"/>
      </w:pPr>
      <w:r>
        <w:t xml:space="preserve">17</w:t>
      </w:r>
    </w:p>
    <w:p>
      <w:pPr>
        <w:pStyle w:val="BodyText"/>
      </w:pPr>
      <w:r>
        <w:t xml:space="preserve">$485,000</w:t>
      </w:r>
    </w:p>
    <w:p>
      <w:pPr>
        <w:pStyle w:val="BodyText"/>
      </w:pPr>
      <w:r>
        <w:t xml:space="preserve">Digital Cataloging Suite v4.2</w:t>
      </w:r>
    </w:p>
    <w:p>
      <w:pPr>
        <w:pStyle w:val="BodyText"/>
      </w:pPr>
      <w:r>
        <w:t xml:space="preserve">Q2 2023</w:t>
      </w:r>
    </w:p>
    <w:p>
      <w:pPr>
        <w:pStyle w:val="BodyText"/>
      </w:pPr>
      <w:r>
        <w:t xml:space="preserve">31</w:t>
      </w:r>
    </w:p>
    <w:p>
      <w:pPr>
        <w:pStyle w:val="BodyText"/>
      </w:pPr>
      <w:r>
        <w:t xml:space="preserve">$762,500</w:t>
      </w:r>
    </w:p>
    <w:p>
      <w:pPr>
        <w:pStyle w:val="BodyText"/>
      </w:pPr>
      <w:r>
        <w:t xml:space="preserve">E-Resource Management Platform</w:t>
      </w:r>
    </w:p>
    <w:p>
      <w:pPr>
        <w:pStyle w:val="BodyText"/>
      </w:pPr>
      <w:r>
        <w:t xml:space="preserve">Q3 2023</w:t>
      </w:r>
    </w:p>
    <w:p>
      <w:pPr>
        <w:pStyle w:val="BodyText"/>
      </w:pPr>
      <w:r>
        <w:t xml:space="preserve">&lt;</w:t>
      </w:r>
    </w:p>
    <w:p>
      <w:pPr>
        <w:pStyle w:val="BodyText"/>
      </w:pPr>
      <w:r>
        <w:t xml:space="preserve">48</w:t>
      </w:r>
    </w:p>
    <w:p>
      <w:pPr>
        <w:pStyle w:val="BodyText"/>
      </w:pPr>
      <w:r>
        <w:t xml:space="preserve">$1,198,400</w:t>
      </w:r>
    </w:p>
    <w:p>
      <w:pPr>
        <w:pStyle w:val="BodyText"/>
      </w:pPr>
      <w:r>
        <w:t xml:space="preserve">AI-Powered Circulation System</w:t>
      </w:r>
    </w:p>
    <w:p>
      <w:pPr>
        <w:pStyle w:val="BodyText"/>
      </w:pPr>
      <w:r>
        <w:t xml:space="preserve">Q4 2023 (Projected)</w:t>
      </w:r>
    </w:p>
    <w:p>
      <w:pPr>
        <w:pStyle w:val="BodyText"/>
      </w:pPr>
      <w:r>
        <w:t xml:space="preserve">62</w:t>
      </w:r>
    </w:p>
    <w:p>
      <w:pPr>
        <w:pStyle w:val="BodyText"/>
      </w:pPr>
      <w:r>
        <w:t xml:space="preserve">$1,576,900</w:t>
      </w:r>
    </w:p>
    <w:p>
      <w:pPr>
        <w:pStyle w:val="BodyText"/>
      </w:pPr>
      <w:r>
        <w:t xml:space="preserve">Multilingual Metadata Engine</w:t>
      </w:r>
    </w:p>
    <w:p>
      <w:pPr>
        <w:pStyle w:val="BodyText"/>
      </w:pPr>
      <w:r>
        <w:rPr>
          <w:bCs/>
          <w:b/>
        </w:rPr>
        <w:t xml:space="preserve">Key Achievement:</w:t>
      </w:r>
      <w:r>
        <w:t xml:space="preserve"> </w:t>
      </w:r>
      <w:r>
        <w:t xml:space="preserve">Our Q4 2023 projection exceeds target by 38%, securing contracts with 15 major Moscow libraries including the Central Library of the Moscow Government and State University of Economics (VSE) Library. This represents a strategic shift from our previous focus on individual librarians to institutional adoption—proving our Sales Report methodology successfully aligns with Moscow's centralized library management structure.</w:t>
      </w:r>
    </w:p>
    <w:bookmarkEnd w:id="22"/>
    <w:bookmarkStart w:id="23" w:name="Xceb9c56be61419106aa306f956ae0c23bdebb8b"/>
    <w:p>
      <w:pPr>
        <w:pStyle w:val="Heading2"/>
      </w:pPr>
      <w:r>
        <w:t xml:space="preserve">IV. Librarian-Centric Strategy: Why Our Approach Resonated</w:t>
      </w:r>
    </w:p>
    <w:p>
      <w:pPr>
        <w:pStyle w:val="FirstParagraph"/>
      </w:pPr>
      <w:r>
        <w:t xml:space="preserve">The success in Russia Moscow stems from three librarian-focused innovations reflected in our Sales Report:</w:t>
      </w:r>
    </w:p>
    <w:p>
      <w:pPr>
        <w:numPr>
          <w:ilvl w:val="0"/>
          <w:numId w:val="1001"/>
        </w:numPr>
        <w:pStyle w:val="Compact"/>
      </w:pPr>
      <w:r>
        <w:rPr>
          <w:bCs/>
          <w:b/>
        </w:rPr>
        <w:t xml:space="preserve">Cultural Localization:</w:t>
      </w:r>
      <w:r>
        <w:t xml:space="preserve"> </w:t>
      </w:r>
      <w:r>
        <w:t xml:space="preserve">All user interfaces and training materials now include Russian-language support with Moscow-specific examples (e.g., cataloging references for "Moscow Historical Archives"). Our team conducted 12 workshops across Moscow libraries, where librarians provided direct feedback that shaped product features.</w:t>
      </w:r>
    </w:p>
    <w:p>
      <w:pPr>
        <w:numPr>
          <w:ilvl w:val="0"/>
          <w:numId w:val="1001"/>
        </w:numPr>
        <w:pStyle w:val="Compact"/>
      </w:pPr>
      <w:r>
        <w:rPr>
          <w:bCs/>
          <w:b/>
        </w:rPr>
        <w:t xml:space="preserve">Compliance Integration:</w:t>
      </w:r>
      <w:r>
        <w:t xml:space="preserve"> </w:t>
      </w:r>
      <w:r>
        <w:t xml:space="preserve">The software automatically generates reports meeting the new Federal Library Standards (No. 897-P), eliminating manual work for Moscow librarians. This feature drove 73% of our Q3 sales, as librarians urgently required regulatory alignment.</w:t>
      </w:r>
    </w:p>
    <w:p>
      <w:pPr>
        <w:numPr>
          <w:ilvl w:val="0"/>
          <w:numId w:val="1001"/>
        </w:numPr>
        <w:pStyle w:val="Compact"/>
      </w:pPr>
      <w:r>
        <w:rPr>
          <w:bCs/>
          <w:b/>
        </w:rPr>
        <w:t xml:space="preserve">Peer Network Effect:</w:t>
      </w:r>
      <w:r>
        <w:t xml:space="preserve"> </w:t>
      </w:r>
      <w:r>
        <w:t xml:space="preserve">We established the "Moscow Librarian Advisory Board" with 27 leading library professionals. Their testimonials—featured in all Sales Report materials—became pivotal in closing institutional deals. One Moscow Public Library Head noted: "Your software reduced our cataloging time by 65% and finally made me a respected tech leader among librarians."</w:t>
      </w:r>
    </w:p>
    <w:bookmarkEnd w:id="23"/>
    <w:bookmarkStart w:id="24" w:name="v.-challenges-adaptive-solutions"/>
    <w:p>
      <w:pPr>
        <w:pStyle w:val="Heading2"/>
      </w:pPr>
      <w:r>
        <w:t xml:space="preserve">V. Challenges &amp; Adaptive Solutions</w:t>
      </w:r>
    </w:p>
    <w:p>
      <w:pPr>
        <w:pStyle w:val="FirstParagraph"/>
      </w:pPr>
      <w:r>
        <w:t xml:space="preserve">Our Sales Report highlights two significant challenges specific to Russia Moscow:</w:t>
      </w:r>
    </w:p>
    <w:p>
      <w:pPr>
        <w:numPr>
          <w:ilvl w:val="0"/>
          <w:numId w:val="1002"/>
        </w:numPr>
        <w:pStyle w:val="Compact"/>
      </w:pPr>
      <w:r>
        <w:rPr>
          <w:bCs/>
          <w:b/>
        </w:rPr>
        <w:t xml:space="preserve">Regulatory Hurdles:</w:t>
      </w:r>
      <w:r>
        <w:t xml:space="preserve"> </w:t>
      </w:r>
      <w:r>
        <w:t xml:space="preserve">Initial delays occurred due to unclear federal data sovereignty requirements. Our legal team collaborated with Moscow's Library Federation to co-create compliance protocols, turning a potential obstacle into a competitive advantage.</w:t>
      </w:r>
    </w:p>
    <w:p>
      <w:pPr>
        <w:numPr>
          <w:ilvl w:val="0"/>
          <w:numId w:val="1002"/>
        </w:numPr>
        <w:pStyle w:val="Compact"/>
      </w:pPr>
      <w:r>
        <w:rPr>
          <w:bCs/>
          <w:b/>
        </w:rPr>
        <w:t xml:space="preserve">Cultural Perception Shift:</w:t>
      </w:r>
      <w:r>
        <w:t xml:space="preserve"> </w:t>
      </w:r>
      <w:r>
        <w:t xml:space="preserve">Many Moscow librarians viewed technology as "disruptive." We countered this by positioning our solution as an extension of their professional expertise—training sessions featured librarian success stories rather than technical demos. This strategy increased conversion rates by 42% among senior library staff.</w:t>
      </w:r>
    </w:p>
    <w:bookmarkEnd w:id="24"/>
    <w:bookmarkStart w:id="25" w:name="X457d796618aa48dec6aea582f5b46433de42ec1"/>
    <w:p>
      <w:pPr>
        <w:pStyle w:val="Heading2"/>
      </w:pPr>
      <w:r>
        <w:t xml:space="preserve">VI. Future Outlook for Librarians in Russia Moscow</w:t>
      </w:r>
    </w:p>
    <w:p>
      <w:pPr>
        <w:pStyle w:val="FirstParagraph"/>
      </w:pPr>
      <w:r>
        <w:t xml:space="preserve">Based on current traction, we project 189 new library contracts by Q2 2024 across Russia Moscow. Our Sales Report identifies three growth vectors:</w:t>
      </w:r>
    </w:p>
    <w:p>
      <w:pPr>
        <w:numPr>
          <w:ilvl w:val="0"/>
          <w:numId w:val="1003"/>
        </w:numPr>
        <w:pStyle w:val="Compact"/>
      </w:pPr>
      <w:r>
        <w:rPr>
          <w:bCs/>
          <w:b/>
        </w:rPr>
        <w:t xml:space="preserve">Government Partnerships:</w:t>
      </w:r>
      <w:r>
        <w:t xml:space="preserve"> </w:t>
      </w:r>
      <w:r>
        <w:t xml:space="preserve">Securing the official contract with Moscow's Department of Culture for citywide implementation (expected Q1 2024), directly impacting 375 librarian positions.</w:t>
      </w:r>
    </w:p>
    <w:p>
      <w:pPr>
        <w:numPr>
          <w:ilvl w:val="0"/>
          <w:numId w:val="1003"/>
        </w:numPr>
        <w:pStyle w:val="Compact"/>
      </w:pPr>
      <w:r>
        <w:rPr>
          <w:bCs/>
          <w:b/>
        </w:rPr>
        <w:t xml:space="preserve">Academic Expansion:</w:t>
      </w:r>
      <w:r>
        <w:t xml:space="preserve"> </w:t>
      </w:r>
      <w:r>
        <w:t xml:space="preserve">Targeting university libraries where librarians increasingly manage digital research collections—projected to contribute 63% of 2024 revenue.</w:t>
      </w:r>
    </w:p>
    <w:p>
      <w:pPr>
        <w:numPr>
          <w:ilvl w:val="0"/>
          <w:numId w:val="1003"/>
        </w:numPr>
        <w:pStyle w:val="Compact"/>
      </w:pPr>
      <w:r>
        <w:rPr>
          <w:bCs/>
          <w:b/>
        </w:rPr>
        <w:t xml:space="preserve">Localization Enhancement:</w:t>
      </w:r>
      <w:r>
        <w:t xml:space="preserve"> </w:t>
      </w:r>
      <w:r>
        <w:t xml:space="preserve">Developing Cyrillic font optimization for Russian-language e-books, addressing a specific pain point identified by Moscow librarians in our Q3 surveys.</w:t>
      </w:r>
    </w:p>
    <w:bookmarkEnd w:id="25"/>
    <w:bookmarkStart w:id="26" w:name="X931dd4fa135c14ce961f95225ed990d229a5b36"/>
    <w:p>
      <w:pPr>
        <w:pStyle w:val="Heading2"/>
      </w:pPr>
      <w:r>
        <w:t xml:space="preserve">VII. Conclusion: The Librarian as Strategic Partner</w:t>
      </w:r>
    </w:p>
    <w:p>
      <w:pPr>
        <w:pStyle w:val="FirstParagraph"/>
      </w:pPr>
      <w:r>
        <w:t xml:space="preserve">This Sales Report unequivocally demonstrates that in Russia Moscow, librarians are no longer passive end-users—they are active technology champions driving institutional change. Our success stems from recognizing that every sale to a librarian represents an investment in the entire library ecosystem of Moscow. By solving their specific operational challenges (cataloging efficiency, regulatory compliance, digital resource management), we've transformed our product into the backbone of modern library services across Russia's capital.</w:t>
      </w:r>
    </w:p>
    <w:p>
      <w:pPr>
        <w:pStyle w:val="BodyText"/>
      </w:pPr>
      <w:r>
        <w:t xml:space="preserve">As one lead librarian at Gorky Central Library stated during our final Q4 review: "Your solution didn't just change how we manage books—it changed how librarians in Moscow are seen as innovators." This sentiment, captured in every Sales Report metric, defines our trajectory. We will continue to prioritize the librarian's professional journey as the core of our growth strategy, ensuring Russia Moscow remains at the forefront of library technology adoption worldwide.</w:t>
      </w:r>
    </w:p>
    <w:p>
      <w:pPr>
        <w:pStyle w:val="BodyText"/>
      </w:pPr>
      <w:r>
        <w:rPr>
          <w:bCs/>
          <w:b/>
        </w:rPr>
        <w:t xml:space="preserve">Prepared By:</w:t>
      </w:r>
      <w:r>
        <w:t xml:space="preserve"> </w:t>
      </w:r>
      <w:r>
        <w:t xml:space="preserve">Anastasia Volkova</w:t>
      </w:r>
      <w:r>
        <w:br/>
      </w:r>
      <w:r>
        <w:rPr>
          <w:bCs/>
          <w:b/>
        </w:rPr>
        <w:t xml:space="preserve">Regional Sales Director, Russia Moscow</w:t>
      </w:r>
      <w:r>
        <w:br/>
      </w:r>
      <w:r>
        <w:t xml:space="preserve">Global Library Solutions | 10th Floor, Mira Building, Moscow | +7 (495) 123-4567</w:t>
      </w:r>
    </w:p>
    <w:p>
      <w:pPr>
        <w:pStyle w:val="BodyText"/>
      </w:pPr>
      <w:r>
        <w:rPr>
          <w:iCs/>
          <w:i/>
        </w:rPr>
        <w:t xml:space="preserve">This Sales Report is confidential. Unauthorized distribution prohibited. Copyright © 2023 Global Library Solutions.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Solutions in Russia Moscow</dc:title>
  <dc:creator/>
  <dc:language>en</dc:language>
  <cp:keywords/>
  <dcterms:created xsi:type="dcterms:W3CDTF">2026-07-24T01:12:48Z</dcterms:created>
  <dcterms:modified xsi:type="dcterms:W3CDTF">2026-07-24T01:12:48Z</dcterms:modified>
</cp:coreProperties>
</file>

<file path=docProps/custom.xml><?xml version="1.0" encoding="utf-8"?>
<Properties xmlns="http://schemas.openxmlformats.org/officeDocument/2006/custom-properties" xmlns:vt="http://schemas.openxmlformats.org/officeDocument/2006/docPropsVTypes"/>
</file>