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Solutions</w:t>
      </w:r>
      <w:r>
        <w:t xml:space="preserve"> </w:t>
      </w:r>
      <w:r>
        <w:t xml:space="preserve">for</w:t>
      </w:r>
      <w:r>
        <w:t xml:space="preserve"> </w:t>
      </w:r>
      <w:r>
        <w:t xml:space="preserve">Riyadh,</w:t>
      </w:r>
      <w:r>
        <w:t xml:space="preserve"> </w:t>
      </w:r>
      <w:r>
        <w:t xml:space="preserve">Saudi</w:t>
      </w:r>
      <w:r>
        <w:t xml:space="preserve"> </w:t>
      </w:r>
      <w:r>
        <w:t xml:space="preserve">Arabia</w:t>
      </w:r>
    </w:p>
    <w:bookmarkStart w:id="27" w:name="X1ee6c44aea5f94331076163540501ebc2be82cb"/>
    <w:p>
      <w:pPr>
        <w:pStyle w:val="Heading1"/>
      </w:pPr>
      <w:r>
        <w:t xml:space="preserve">Sales Report: Strategic Growth of Librarian Library Management Solutions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Comprehensive Analysis of Librarian Product Performance and Market Strategy in Riyadh, Saudi Arabia</w:t>
      </w:r>
    </w:p>
    <w:bookmarkStart w:id="20" w:name="i.-executive-summary"/>
    <w:p>
      <w:pPr>
        <w:pStyle w:val="Heading2"/>
      </w:pPr>
      <w:r>
        <w:t xml:space="preserve">I. Executive Summary</w:t>
      </w:r>
    </w:p>
    <w:p>
      <w:pPr>
        <w:pStyle w:val="FirstParagraph"/>
      </w:pPr>
      <w:r>
        <w:t xml:space="preserve">This report details the exceptional performance of the "Librarian" integrated library management system (ILMS) within Riyadh's evolving educational and cultural landscape. Operating under Saudi Vision 2030's emphasis on knowledge economy development, Librarian has achieved a 45% year-over-year sales growth in Riyadh, surpassing regional targets by 18%. The solution has become the cornerstone for modernizing library infrastructure across government institutions, universities (including King Saud University and Alfaisal University), and public libraries under the Ministry of Culture. This success underscores Librarian's alignment with Saudi Arabia's strategic priorities for digital transformation in cultural sectors.</w:t>
      </w:r>
    </w:p>
    <w:bookmarkEnd w:id="20"/>
    <w:bookmarkStart w:id="21" w:name="X3cffb49780972378410916c18ac687526d7ed79"/>
    <w:p>
      <w:pPr>
        <w:pStyle w:val="Heading2"/>
      </w:pPr>
      <w:r>
        <w:t xml:space="preserve">II. Riyadh Market Context: Why Librarian is Critical</w:t>
      </w:r>
    </w:p>
    <w:p>
      <w:pPr>
        <w:pStyle w:val="FirstParagraph"/>
      </w:pPr>
      <w:r>
        <w:t xml:space="preserve">Riyadh, as the capital city of Saudi Arabia, serves as the epicenter for national initiatives driving cultural and knowledge advancement. The Kingdom's Vision 2030 has prioritized expanding access to information resources through modern library systems. With over 150 public libraries operating in Riyadh alone (per Ministry of Culture data), there is a critical need for scalable, Arabic-first digital solutions. Traditional library management tools proved inadequate for Saudi Arabia's unique requirements—supporting Arabic content, integrating with national education platforms like "Matar" and "Ta'leef," and meeting stringent cultural compliance standards.</w:t>
      </w:r>
    </w:p>
    <w:p>
      <w:pPr>
        <w:pStyle w:val="BodyText"/>
      </w:pPr>
      <w:r>
        <w:t xml:space="preserve">The Librarian platform directly addresses these challenges. Its native Arabic interface, support for Saudi-specific cataloging standards (Saudi Library Classification System), and seamless integration with the National Library Strategy have positioned it as the market leader in Riyadh. This isn't merely a sales success; it's a strategic alignment with Saudi Arabia's national development goals.</w:t>
      </w:r>
    </w:p>
    <w:bookmarkEnd w:id="21"/>
    <w:bookmarkStart w:id="22" w:name="X1be94b53bc43fe2dce4ada0fa993b836e6e8b80"/>
    <w:p>
      <w:pPr>
        <w:pStyle w:val="Heading2"/>
      </w:pPr>
      <w:r>
        <w:t xml:space="preserve">III. Sales Performance Highlights (Riyadh, Q3 2023)</w:t>
      </w:r>
    </w:p>
    <w:p>
      <w:pPr>
        <w:pStyle w:val="FirstParagraph"/>
      </w:pPr>
      <w:r>
        <w:t xml:space="preserve">Product Segment</w:t>
      </w:r>
    </w:p>
    <w:p>
      <w:pPr>
        <w:pStyle w:val="BodyText"/>
      </w:pPr>
      <w:r>
        <w:t xml:space="preserve">Sales Volume</w:t>
      </w:r>
    </w:p>
    <w:p>
      <w:pPr>
        <w:pStyle w:val="BodyText"/>
      </w:pPr>
      <w:r>
        <w:t xml:space="preserve">Revenue (SAR)</w:t>
      </w:r>
    </w:p>
    <w:p>
      <w:pPr>
        <w:pStyle w:val="BodyText"/>
      </w:pPr>
      <w:r>
        <w:t xml:space="preserve">YoY Growth</w:t>
      </w:r>
    </w:p>
    <w:p>
      <w:pPr>
        <w:pStyle w:val="BodyText"/>
      </w:pPr>
      <w:r>
        <w:t xml:space="preserve">Key Clients in Riyadh</w:t>
      </w:r>
    </w:p>
    <w:p>
      <w:pPr>
        <w:pStyle w:val="BodyText"/>
      </w:pPr>
      <w:r>
        <w:t xml:space="preserve">University Libraries (Premium)</w:t>
      </w:r>
    </w:p>
    <w:p>
      <w:pPr>
        <w:pStyle w:val="BodyText"/>
      </w:pPr>
      <w:r>
        <w:t xml:space="preserve">32 Units</w:t>
      </w:r>
    </w:p>
    <w:p>
      <w:pPr>
        <w:pStyle w:val="BodyText"/>
      </w:pPr>
      <w:r>
        <w:t xml:space="preserve">1,850,000 SAR</w:t>
      </w:r>
    </w:p>
    <w:p>
      <w:pPr>
        <w:pStyle w:val="BodyText"/>
      </w:pPr>
      <w:r>
        <w:t xml:space="preserve">52%</w:t>
      </w:r>
    </w:p>
    <w:p>
      <w:pPr>
        <w:pStyle w:val="BodyText"/>
      </w:pPr>
      <w:r>
        <w:t xml:space="preserve">King Saud University Library, Princess Nourah bint Abdulrahman University</w:t>
      </w:r>
    </w:p>
    <w:p>
      <w:pPr>
        <w:pStyle w:val="BodyText"/>
      </w:pPr>
      <w:r>
        <w:t xml:space="preserve">Public Libraries (Enterprise)</w:t>
      </w:r>
    </w:p>
    <w:p>
      <w:pPr>
        <w:pStyle w:val="BodyText"/>
      </w:pPr>
      <w:r>
        <w:t xml:space="preserve">18 Units</w:t>
      </w:r>
    </w:p>
    <w:p>
      <w:pPr>
        <w:pStyle w:val="BodyText"/>
      </w:pPr>
      <w:r>
        <w:t xml:space="preserve">975,000 SAR</w:t>
      </w:r>
    </w:p>
    <w:p>
      <w:pPr>
        <w:pStyle w:val="BodyText"/>
      </w:pPr>
      <w:r>
        <w:t xml:space="preserve">38%</w:t>
      </w:r>
    </w:p>
    <w:p>
      <w:pPr>
        <w:pStyle w:val="BodyText"/>
      </w:pPr>
      <w:r>
        <w:t xml:space="preserve">Riyadh Public Library Network, Diriyah Library System</w:t>
      </w:r>
    </w:p>
    <w:p>
      <w:pPr>
        <w:pStyle w:val="BodyText"/>
      </w:pPr>
      <w:r>
        <w:t xml:space="preserve">Digital Access Modules (Add-Ons)</w:t>
      </w:r>
    </w:p>
    <w:p>
      <w:pPr>
        <w:pStyle w:val="BodyText"/>
      </w:pPr>
      <w:r>
        <w:t xml:space="preserve">215 Licenses</w:t>
      </w:r>
    </w:p>
    <w:p>
      <w:pPr>
        <w:pStyle w:val="BodyText"/>
      </w:pPr>
      <w:r>
        <w:t xml:space="preserve">420,000 SAR76%Riyadh Municipal Libraries, Educational Institutes</w:t>
      </w:r>
    </w:p>
    <w:p>
      <w:pPr>
        <w:pStyle w:val="BodyText"/>
      </w:pPr>
      <w:r>
        <w:t xml:space="preserve">The Q3 results reflect a 15% increase in sales velocity compared to the previous quarter. Key drivers include:</w:t>
      </w:r>
    </w:p>
    <w:p>
      <w:pPr>
        <w:numPr>
          <w:ilvl w:val="0"/>
          <w:numId w:val="1001"/>
        </w:numPr>
        <w:pStyle w:val="Compact"/>
      </w:pPr>
      <w:r>
        <w:rPr>
          <w:bCs/>
          <w:b/>
        </w:rPr>
        <w:t xml:space="preserve">Government Mandate Compliance:</w:t>
      </w:r>
      <w:r>
        <w:t xml:space="preserve"> </w:t>
      </w:r>
      <w:r>
        <w:t xml:space="preserve">Librarian's certification as an official solution for Saudi Ministry of Education projects.</w:t>
      </w:r>
    </w:p>
    <w:p>
      <w:pPr>
        <w:numPr>
          <w:ilvl w:val="0"/>
          <w:numId w:val="1001"/>
        </w:numPr>
        <w:pStyle w:val="Compact"/>
      </w:pPr>
      <w:r>
        <w:rPr>
          <w:bCs/>
          <w:b/>
        </w:rPr>
        <w:t xml:space="preserve">Cultural Resonance:</w:t>
      </w:r>
      <w:r>
        <w:t xml:space="preserve"> </w:t>
      </w:r>
      <w:r>
        <w:t xml:space="preserve">Features like Arabic voice search, Quranic literature categorization, and support for Saudi cultural heritage collections.</w:t>
      </w:r>
    </w:p>
    <w:p>
      <w:pPr>
        <w:numPr>
          <w:ilvl w:val="0"/>
          <w:numId w:val="1001"/>
        </w:numPr>
        <w:pStyle w:val="Compact"/>
      </w:pPr>
      <w:r>
        <w:rPr>
          <w:bCs/>
          <w:b/>
        </w:rPr>
        <w:t xml:space="preserve">Strategic Partnerships:</w:t>
      </w:r>
      <w:r>
        <w:t xml:space="preserve"> </w:t>
      </w:r>
      <w:r>
        <w:t xml:space="preserve">Collaboration with Riyadh-based digital transformation firms (e.g., "Saudidata") for bundled implementations.</w:t>
      </w:r>
    </w:p>
    <w:bookmarkEnd w:id="22"/>
    <w:bookmarkStart w:id="23" w:name="iv.-customer-success-stories-in-riyadh"/>
    <w:p>
      <w:pPr>
        <w:pStyle w:val="Heading2"/>
      </w:pPr>
      <w:r>
        <w:t xml:space="preserve">IV. Customer Success Stories in Riyadh</w:t>
      </w:r>
    </w:p>
    <w:p>
      <w:pPr>
        <w:pStyle w:val="FirstParagraph"/>
      </w:pPr>
      <w:r>
        <w:t xml:space="preserve">The Librarian solution's impact is best illustrated through real-world adoption in Riyadh's institutions:</w:t>
      </w:r>
    </w:p>
    <w:p>
      <w:pPr>
        <w:pStyle w:val="BodyText"/>
      </w:pPr>
      <w:r>
        <w:rPr>
          <w:bCs/>
          <w:b/>
        </w:rPr>
        <w:t xml:space="preserve">Case Study 1: King Abdullah University of Science &amp; Technology (KAUST) Library</w:t>
      </w:r>
    </w:p>
    <w:p>
      <w:pPr>
        <w:pStyle w:val="BodyText"/>
      </w:pPr>
      <w:r>
        <w:t xml:space="preserve">After implementing Librarian, KAUST reduced inter-library loan processing time by 65% and increased digital resource usage by 42%. The university's Director of Information Services noted, "Librarian wasn't just software; it was the missing link for our Riyadh campus to fully participate in Saudi Arabia's national research ecosystem."</w:t>
      </w:r>
    </w:p>
    <w:p>
      <w:pPr>
        <w:pStyle w:val="BodyText"/>
      </w:pPr>
      <w:r>
        <w:rPr>
          <w:bCs/>
          <w:b/>
        </w:rPr>
        <w:t xml:space="preserve">Case Study 2: Riyadh Public Library Network</w:t>
      </w:r>
    </w:p>
    <w:p>
      <w:pPr>
        <w:pStyle w:val="BodyText"/>
      </w:pPr>
      <w:r>
        <w:t xml:space="preserve">A multi-site rollout across 12 branches enabled unified access to a centralized digital repository of 50,000+ Arabic-language resources. Patron satisfaction scores rose by 34% within six months. This implementation directly supports the Ministry of Culture's goal to have every Riyadh resident within 3 km of a modern library.</w:t>
      </w:r>
    </w:p>
    <w:bookmarkEnd w:id="23"/>
    <w:bookmarkStart w:id="24" w:name="v.-challenges-and-strategic-response"/>
    <w:p>
      <w:pPr>
        <w:pStyle w:val="Heading2"/>
      </w:pPr>
      <w:r>
        <w:t xml:space="preserve">V. Challenges and Strategic Response</w:t>
      </w:r>
    </w:p>
    <w:p>
      <w:pPr>
        <w:pStyle w:val="FirstParagraph"/>
      </w:pPr>
      <w:r>
        <w:t xml:space="preserve">Initial challenges included overcoming legacy system inertia in some public institutions and adapting to Saudi Arabia's strict data sovereignty requirements. Our Riyadh-based technical team addressed these by:</w:t>
      </w:r>
    </w:p>
    <w:p>
      <w:pPr>
        <w:numPr>
          <w:ilvl w:val="0"/>
          <w:numId w:val="1002"/>
        </w:numPr>
        <w:pStyle w:val="Compact"/>
      </w:pPr>
      <w:r>
        <w:t xml:space="preserve">Establishing a dedicated Saudi data center in Riyadh for all client data (compliant with NCA regulations)</w:t>
      </w:r>
    </w:p>
    <w:p>
      <w:pPr>
        <w:numPr>
          <w:ilvl w:val="0"/>
          <w:numId w:val="1002"/>
        </w:numPr>
        <w:pStyle w:val="Compact"/>
      </w:pPr>
      <w:r>
        <w:t xml:space="preserve">Partnering with local training institutes to certify 200+ library staff across the city</w:t>
      </w:r>
    </w:p>
    <w:p>
      <w:pPr>
        <w:numPr>
          <w:ilvl w:val="0"/>
          <w:numId w:val="1002"/>
        </w:numPr>
        <w:pStyle w:val="Compact"/>
      </w:pPr>
      <w:r>
        <w:t xml:space="preserve">Developing "Saudi Edition" updates incorporating new national cultural content standards</w:t>
      </w:r>
    </w:p>
    <w:bookmarkEnd w:id="24"/>
    <w:bookmarkStart w:id="25" w:name="X40fc894514164be69d82b8b25a6300c6217b6f0"/>
    <w:p>
      <w:pPr>
        <w:pStyle w:val="Heading2"/>
      </w:pPr>
      <w:r>
        <w:t xml:space="preserve">VI. Future Outlook for Librarian in Riyadh, Saudi Arabia</w:t>
      </w:r>
    </w:p>
    <w:p>
      <w:pPr>
        <w:pStyle w:val="FirstParagraph"/>
      </w:pPr>
      <w:r>
        <w:t xml:space="preserve">The sales pipeline for Librarian in Riyadh shows significant momentum. Key opportunities include:</w:t>
      </w:r>
    </w:p>
    <w:p>
      <w:pPr>
        <w:numPr>
          <w:ilvl w:val="0"/>
          <w:numId w:val="1003"/>
        </w:numPr>
        <w:pStyle w:val="Compact"/>
      </w:pPr>
      <w:r>
        <w:rPr>
          <w:bCs/>
          <w:b/>
        </w:rPr>
        <w:t xml:space="preserve">National Library Expansion:</w:t>
      </w:r>
      <w:r>
        <w:t xml:space="preserve"> </w:t>
      </w:r>
      <w:r>
        <w:t xml:space="preserve">Anticipating 30+ new public libraries under the Ministry of Culture's 2024 rollout, with Librarian positioned as the preferred platform.</w:t>
      </w:r>
    </w:p>
    <w:p>
      <w:pPr>
        <w:numPr>
          <w:ilvl w:val="0"/>
          <w:numId w:val="1003"/>
        </w:numPr>
        <w:pStyle w:val="Compact"/>
      </w:pPr>
      <w:r>
        <w:rPr>
          <w:bCs/>
          <w:b/>
        </w:rPr>
        <w:t xml:space="preserve">University Consortiums:</w:t>
      </w:r>
      <w:r>
        <w:t xml:space="preserve"> </w:t>
      </w:r>
      <w:r>
        <w:t xml:space="preserve">Targeting a Riyadh-based university alliance for a unified ILMS solution across all member institutions.</w:t>
      </w:r>
    </w:p>
    <w:p>
      <w:pPr>
        <w:numPr>
          <w:ilvl w:val="0"/>
          <w:numId w:val="1003"/>
        </w:numPr>
        <w:pStyle w:val="Compact"/>
      </w:pPr>
      <w:r>
        <w:rPr>
          <w:bCs/>
          <w:b/>
        </w:rPr>
        <w:t xml:space="preserve">Saudi Vision 2030 Integration:</w:t>
      </w:r>
      <w:r>
        <w:t xml:space="preserve"> </w:t>
      </w:r>
      <w:r>
        <w:t xml:space="preserve">Developing features that directly align with national initiatives like "Saudi Digital Library" and "Arabic Content Development."</w:t>
      </w:r>
    </w:p>
    <w:bookmarkEnd w:id="25"/>
    <w:bookmarkStart w:id="26" w:name="vii.-conclusion"/>
    <w:p>
      <w:pPr>
        <w:pStyle w:val="Heading2"/>
      </w:pPr>
      <w:r>
        <w:t xml:space="preserve">VII. Conclusion</w:t>
      </w:r>
    </w:p>
    <w:p>
      <w:pPr>
        <w:pStyle w:val="FirstParagraph"/>
      </w:pPr>
      <w:r>
        <w:t xml:space="preserve">The Librarian sales performance in Riyadh, Saudi Arabia, is a testament to strategic market alignment. This isn't simply selling software—it's enabling Saudi Arabia's cultural transformation at the grassroots level through modern library infrastructure. As Riyadh continues to develop as a knowledge hub under Vision 2030, Librarian has established itself not just as a product but as an essential national asset for information access and cultural preservation.</w:t>
      </w:r>
    </w:p>
    <w:p>
      <w:pPr>
        <w:pStyle w:val="BodyText"/>
      </w:pPr>
      <w:r>
        <w:t xml:space="preserve">The data is unequivocal: Librarian drives measurable success in Saudi Arabia's most dynamic city. Our continued focus on Arabic-language excellence, cultural sensitivity, and deep integration with Riyadh's institutional ecosystem will cement our leadership position. We project 60% growth in the Riyadh market for 2024, directly contributing to Saudi Arabia's vision of becoming a global leader in knowledge-based economies.</w:t>
      </w:r>
    </w:p>
    <w:p>
      <w:pPr>
        <w:pStyle w:val="BodyText"/>
      </w:pPr>
      <w:r>
        <w:rPr>
          <w:bCs/>
          <w:b/>
        </w:rPr>
        <w:t xml:space="preserve">Prepared By:</w:t>
      </w:r>
      <w:r>
        <w:t xml:space="preserve"> </w:t>
      </w:r>
      <w:r>
        <w:t xml:space="preserve">Strategic Sales Division, Najma Digital Solutions</w:t>
      </w:r>
      <w:r>
        <w:br/>
      </w:r>
      <w:r>
        <w:rPr>
          <w:bCs/>
          <w:b/>
        </w:rPr>
        <w:t xml:space="preserve">Contact:</w:t>
      </w:r>
      <w:r>
        <w:t xml:space="preserve"> </w:t>
      </w:r>
      <w:r>
        <w:t xml:space="preserve">sales.rks@najmadigital.sa | +966 11 450 8722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Solutions for Riyadh, Saudi Arabia</dc:title>
  <dc:creator/>
  <cp:keywords/>
  <dcterms:created xsi:type="dcterms:W3CDTF">2026-07-21T04:05:00Z</dcterms:created>
  <dcterms:modified xsi:type="dcterms:W3CDTF">2026-07-21T04:05:00Z</dcterms:modified>
</cp:coreProperties>
</file>

<file path=docProps/custom.xml><?xml version="1.0" encoding="utf-8"?>
<Properties xmlns="http://schemas.openxmlformats.org/officeDocument/2006/custom-properties" xmlns:vt="http://schemas.openxmlformats.org/officeDocument/2006/docPropsVTypes"/>
</file>