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Operations</w:t>
      </w:r>
      <w:r>
        <w:t xml:space="preserve"> </w:t>
      </w:r>
      <w:r>
        <w:t xml:space="preserve">at</w:t>
      </w:r>
      <w:r>
        <w:t xml:space="preserve"> </w:t>
      </w:r>
      <w:r>
        <w:t xml:space="preserve">National</w:t>
      </w:r>
      <w:r>
        <w:t xml:space="preserve"> </w:t>
      </w:r>
      <w:r>
        <w:t xml:space="preserve">Library</w:t>
      </w:r>
      <w:r>
        <w:t xml:space="preserve"> </w:t>
      </w:r>
      <w:r>
        <w:t xml:space="preserve">of</w:t>
      </w:r>
      <w:r>
        <w:t xml:space="preserve"> </w:t>
      </w:r>
      <w:r>
        <w:t xml:space="preserve">Sudan,</w:t>
      </w:r>
      <w:r>
        <w:t xml:space="preserve"> </w:t>
      </w:r>
      <w:r>
        <w:t xml:space="preserve">Khartoum</w:t>
      </w:r>
    </w:p>
    <w:bookmarkStart w:id="30" w:name="Xde31b2560fcb869312ae9a4fdb417ac39a6d1dc"/>
    <w:p>
      <w:pPr>
        <w:pStyle w:val="Heading1"/>
      </w:pPr>
      <w:r>
        <w:t xml:space="preserve">Sales Report: Librarian Resource Circulation &amp; Community Impact Analysis – National Library of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Sudanese Ministry of Culture &amp; National Library Board</w:t>
      </w:r>
      <w:r>
        <w:br/>
      </w:r>
      <w:r>
        <w:rPr>
          <w:bCs/>
          <w:b/>
        </w:rPr>
        <w:t xml:space="preserve">Report Period:</w:t>
      </w:r>
      <w:r>
        <w:t xml:space="preserve"> </w:t>
      </w:r>
      <w:r>
        <w:t xml:space="preserve">July 1, 2023 – September 30, 2023</w:t>
      </w:r>
      <w:r>
        <w:br/>
      </w:r>
      <w:r>
        <w:rPr>
          <w:bCs/>
          <w:b/>
        </w:rPr>
        <w:t xml:space="preserve">Location:</w:t>
      </w:r>
      <w:r>
        <w:t xml:space="preserve"> </w:t>
      </w:r>
      <w:r>
        <w:t xml:space="preserve">Khartoum, Republic of Sudan</w:t>
      </w:r>
    </w:p>
    <w:bookmarkStart w:id="20" w:name="executive-summary"/>
    <w:p>
      <w:pPr>
        <w:pStyle w:val="Heading2"/>
      </w:pPr>
      <w:r>
        <w:t xml:space="preserve">Executive Summary</w:t>
      </w:r>
    </w:p>
    <w:p>
      <w:pPr>
        <w:pStyle w:val="FirstParagraph"/>
      </w:pPr>
      <w:r>
        <w:t xml:space="preserve">This Sales Report documents the operational performance and community impact metrics of Librarian services at the National Library of Sudan (NLS) in Khartoum during Q3 2023. Contrary to commercial sales, this report defines "sales" as resource circulation (books, digital access, learning materials), patron engagement metrics, and community service delivery. The Librarian team successfully managed a 14.7% increase in resource circulation despite ongoing economic challenges in Sudan Khartoum, serving over 32,500 unique patrons through strategic partnerships and innovative service models. This document underscores the critical role of the Librarian as a cultural catalyst within Khartoum’s educational ecosystem.</w:t>
      </w:r>
    </w:p>
    <w:bookmarkEnd w:id="20"/>
    <w:bookmarkStart w:id="21" w:name="X997736fc6b5c12f199a30a5057125f4408b5440"/>
    <w:p>
      <w:pPr>
        <w:pStyle w:val="Heading2"/>
      </w:pPr>
      <w:r>
        <w:t xml:space="preserve">Methodology: Defining "Sales" for Library Operations</w:t>
      </w:r>
    </w:p>
    <w:p>
      <w:pPr>
        <w:pStyle w:val="FirstParagraph"/>
      </w:pPr>
      <w:r>
        <w:t xml:space="preserve">In this context, "sales" refers exclusively to measurable resource utilization and service delivery metrics, not monetary transactions. The Librarian team tracks:</w:t>
      </w:r>
    </w:p>
    <w:p>
      <w:pPr>
        <w:numPr>
          <w:ilvl w:val="0"/>
          <w:numId w:val="1001"/>
        </w:numPr>
        <w:pStyle w:val="Compact"/>
      </w:pPr>
      <w:r>
        <w:rPr>
          <w:bCs/>
          <w:b/>
        </w:rPr>
        <w:t xml:space="preserve">Circulation Volume:</w:t>
      </w:r>
      <w:r>
        <w:t xml:space="preserve"> </w:t>
      </w:r>
      <w:r>
        <w:t xml:space="preserve">Physical books, journals, and multimedia items issued</w:t>
      </w:r>
    </w:p>
    <w:p>
      <w:pPr>
        <w:numPr>
          <w:ilvl w:val="0"/>
          <w:numId w:val="1001"/>
        </w:numPr>
        <w:pStyle w:val="Compact"/>
      </w:pPr>
      <w:r>
        <w:rPr>
          <w:bCs/>
          <w:b/>
        </w:rPr>
        <w:t xml:space="preserve">Digital Access Hours:</w:t>
      </w:r>
      <w:r>
        <w:t xml:space="preserve"> </w:t>
      </w:r>
      <w:r>
        <w:t xml:space="preserve">Time patrons spent using library e-resources (e.g., JSTOR, UNESCO databases)</w:t>
      </w:r>
    </w:p>
    <w:p>
      <w:pPr>
        <w:numPr>
          <w:ilvl w:val="0"/>
          <w:numId w:val="1001"/>
        </w:numPr>
        <w:pStyle w:val="Compact"/>
      </w:pPr>
      <w:r>
        <w:rPr>
          <w:bCs/>
          <w:b/>
        </w:rPr>
        <w:t xml:space="preserve">Program Participation:</w:t>
      </w:r>
      <w:r>
        <w:t xml:space="preserve"> </w:t>
      </w:r>
      <w:r>
        <w:t xml:space="preserve">Attendance at workshops (literacy, digital skills)</w:t>
      </w:r>
    </w:p>
    <w:p>
      <w:pPr>
        <w:numPr>
          <w:ilvl w:val="0"/>
          <w:numId w:val="1001"/>
        </w:numPr>
        <w:pStyle w:val="Compact"/>
      </w:pPr>
      <w:r>
        <w:rPr>
          <w:bCs/>
          <w:b/>
        </w:rPr>
        <w:t xml:space="preserve">Community Partnerships:</w:t>
      </w:r>
      <w:r>
        <w:t xml:space="preserve"> </w:t>
      </w:r>
      <w:r>
        <w:t xml:space="preserve">Collaborations with schools, universities, and NGOs</w:t>
      </w:r>
    </w:p>
    <w:bookmarkEnd w:id="21"/>
    <w:bookmarkStart w:id="22" w:name="X67dfe6cfde2f1586d8991a4c2263020b6a489c9"/>
    <w:p>
      <w:pPr>
        <w:pStyle w:val="Heading2"/>
      </w:pPr>
      <w:r>
        <w:t xml:space="preserve">Key Performance Indicators: Khartoum-Specific Results</w:t>
      </w:r>
    </w:p>
    <w:p>
      <w:pPr>
        <w:pStyle w:val="FirstParagraph"/>
      </w:pPr>
      <w:r>
        <w:t xml:space="preserve">The National Library of Sudan in Khartoum recorded significant growth across all indicators compared to 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(Khartoum)</w:t>
            </w:r>
          </w:p>
        </w:tc>
        <w:tc>
          <w:tcPr/>
          <w:p>
            <w:pPr>
              <w:pStyle w:val="Compact"/>
              <w:jc w:val="left"/>
            </w:pPr>
            <w:r>
              <w:t xml:space="preserve">Q2 2023 (Khartoum)</w:t>
            </w:r>
          </w:p>
        </w:tc>
        <w:tc>
          <w:tcPr/>
          <w:p>
            <w:pPr>
              <w:pStyle w:val="Compact"/>
              <w:jc w:val="left"/>
            </w:pPr>
            <w:r>
              <w:t xml:space="preserve">Change</w:t>
            </w:r>
          </w:p>
        </w:tc>
      </w:tr>
      <w:tr>
        <w:tc>
          <w:tcPr/>
          <w:p>
            <w:pPr>
              <w:pStyle w:val="Compact"/>
              <w:jc w:val="left"/>
            </w:pPr>
            <w:r>
              <w:t xml:space="preserve">Circulation Volume (Items Issued)</w:t>
            </w:r>
          </w:p>
        </w:tc>
        <w:tc>
          <w:tcPr/>
          <w:p>
            <w:pPr>
              <w:pStyle w:val="Compact"/>
              <w:jc w:val="left"/>
            </w:pPr>
            <w:r>
              <w:t xml:space="preserve">18,450</w:t>
            </w:r>
          </w:p>
        </w:tc>
        <w:tc>
          <w:tcPr/>
          <w:p>
            <w:pPr>
              <w:pStyle w:val="Compact"/>
              <w:jc w:val="left"/>
            </w:pPr>
            <w:r>
              <w:t xml:space="preserve">16,100</w:t>
            </w:r>
          </w:p>
        </w:tc>
        <w:tc>
          <w:tcPr/>
          <w:p>
            <w:pPr>
              <w:pStyle w:val="Compact"/>
              <w:jc w:val="left"/>
            </w:pPr>
            <w:r>
              <w:t xml:space="preserve">+14.7%</w:t>
            </w:r>
          </w:p>
        </w:tc>
      </w:tr>
      <w:tr>
        <w:tc>
          <w:tcPr/>
          <w:p>
            <w:pPr>
              <w:pStyle w:val="Compact"/>
              <w:jc w:val="left"/>
            </w:pPr>
            <w:r>
              <w:t xml:space="preserve">Digital Access Hours</w:t>
            </w:r>
          </w:p>
        </w:tc>
        <w:tc>
          <w:tcPr/>
          <w:p>
            <w:pPr>
              <w:pStyle w:val="Compact"/>
              <w:jc w:val="left"/>
            </w:pPr>
            <w:r>
              <w:t xml:space="preserve">2,350</w:t>
            </w:r>
          </w:p>
        </w:tc>
        <w:tc>
          <w:tcPr/>
          <w:p>
            <w:pPr>
              <w:pStyle w:val="Compact"/>
              <w:jc w:val="left"/>
            </w:pPr>
            <w:r>
              <w:t xml:space="preserve">1,890</w:t>
            </w:r>
          </w:p>
        </w:tc>
        <w:tc>
          <w:tcPr/>
          <w:p>
            <w:pPr>
              <w:pStyle w:val="Compact"/>
              <w:jc w:val="left"/>
            </w:pPr>
            <w:r>
              <w:t xml:space="preserve">+24.3%</w:t>
            </w:r>
          </w:p>
        </w:tc>
      </w:tr>
      <w:tr>
        <w:tc>
          <w:tcPr>
            <w:gridSpan w:val="2"/>
          </w:tcPr>
          <w:p>
            <w:pPr>
              <w:pStyle w:val="Compact"/>
              <w:jc w:val="left"/>
            </w:pPr>
            <w:r>
              <w:t xml:space="preserve">Community Program Attendance (Total)</w:t>
            </w:r>
          </w:p>
        </w:tc>
        <w:tc>
          <w:tcPr/>
          <w:p>
            <w:pPr>
              <w:pStyle w:val="Compact"/>
            </w:pPr>
          </w:p>
        </w:tc>
        <w:tc>
          <w:tcPr/>
          <w:p>
            <w:pPr>
              <w:pStyle w:val="Compact"/>
            </w:pPr>
          </w:p>
        </w:tc>
      </w:tr>
      <w:tr>
        <w:tc>
          <w:tcPr/>
          <w:p>
            <w:pPr>
              <w:pStyle w:val="Compact"/>
              <w:jc w:val="left"/>
            </w:pPr>
            <w:r>
              <w:t xml:space="preserve">Literacy Workshops for Children</w:t>
            </w:r>
          </w:p>
        </w:tc>
        <w:tc>
          <w:tcPr/>
          <w:p>
            <w:pPr>
              <w:pStyle w:val="Compact"/>
              <w:jc w:val="left"/>
            </w:pPr>
            <w:r>
              <w:t xml:space="preserve">1,250 attendees</w:t>
            </w:r>
          </w:p>
        </w:tc>
        <w:tc>
          <w:tcPr/>
          <w:p>
            <w:pPr>
              <w:pStyle w:val="Compact"/>
              <w:jc w:val="left"/>
            </w:pPr>
            <w:r>
              <w:t xml:space="preserve">980 attendees</w:t>
            </w:r>
          </w:p>
        </w:tc>
        <w:tc>
          <w:tcPr/>
          <w:p>
            <w:pPr>
              <w:pStyle w:val="Compact"/>
              <w:jc w:val="left"/>
            </w:pPr>
            <w:r>
              <w:t xml:space="preserve">+27.6%</w:t>
            </w:r>
          </w:p>
        </w:tc>
      </w:tr>
      <w:tr>
        <w:tc>
          <w:tcPr>
            <w:gridSpan w:val="2"/>
          </w:tcPr>
          <w:p>
            <w:pPr>
              <w:pStyle w:val="Compact"/>
              <w:jc w:val="left"/>
            </w:pPr>
            <w:r>
              <w:t xml:space="preserve">Key Khartoum Partnerships Secured in Q3</w:t>
            </w:r>
          </w:p>
        </w:tc>
        <w:tc>
          <w:tcPr/>
          <w:p>
            <w:pPr>
              <w:pStyle w:val="Compact"/>
            </w:pPr>
          </w:p>
        </w:tc>
        <w:tc>
          <w:tcPr/>
          <w:p>
            <w:pPr>
              <w:pStyle w:val="Compact"/>
            </w:pPr>
          </w:p>
        </w:tc>
      </w:tr>
      <w:tr>
        <w:tc>
          <w:tcPr/>
          <w:p>
            <w:pPr>
              <w:pStyle w:val="Compact"/>
              <w:jc w:val="left"/>
            </w:pPr>
            <w:r>
              <w:t xml:space="preserve">Partner Organization</w:t>
            </w:r>
          </w:p>
        </w:tc>
        <w:tc>
          <w:tcPr/>
          <w:p>
            <w:pPr>
              <w:pStyle w:val="Compact"/>
              <w:jc w:val="left"/>
            </w:pPr>
            <w:r>
              <w:t xml:space="preserve">Service Delivered</w:t>
            </w:r>
          </w:p>
        </w:tc>
        <w:tc>
          <w:tcPr/>
          <w:p>
            <w:pPr>
              <w:pStyle w:val="Compact"/>
            </w:pPr>
          </w:p>
        </w:tc>
        <w:tc>
          <w:tcPr/>
          <w:p>
            <w:pPr>
              <w:pStyle w:val="Compact"/>
            </w:pPr>
          </w:p>
        </w:tc>
      </w:tr>
      <w:tr>
        <w:tc>
          <w:tcPr/>
          <w:p>
            <w:pPr>
              <w:pStyle w:val="Compact"/>
              <w:jc w:val="left"/>
            </w:pPr>
            <w:r>
              <w:t xml:space="preserve">Khartoum University Faculty of Education</w:t>
            </w:r>
          </w:p>
        </w:tc>
        <w:tc>
          <w:tcPr/>
          <w:p>
            <w:pPr>
              <w:pStyle w:val="Compact"/>
              <w:jc w:val="left"/>
            </w:pPr>
            <w:r>
              <w:t xml:space="preserve">Digital literacy training for 450 students</w:t>
            </w:r>
          </w:p>
        </w:tc>
        <w:tc>
          <w:tcPr/>
          <w:p>
            <w:pPr>
              <w:pStyle w:val="Compact"/>
            </w:pPr>
          </w:p>
        </w:tc>
        <w:tc>
          <w:tcPr/>
          <w:p>
            <w:pPr>
              <w:pStyle w:val="Compact"/>
            </w:pPr>
          </w:p>
        </w:tc>
      </w:tr>
      <w:tr>
        <w:tc>
          <w:tcPr/>
          <w:p>
            <w:pPr>
              <w:pStyle w:val="Compact"/>
              <w:jc w:val="left"/>
            </w:pPr>
            <w:r>
              <w:t xml:space="preserve">Sudan Red Crescent Society (Khartoum Chapter)</w:t>
            </w:r>
          </w:p>
        </w:tc>
        <w:tc>
          <w:tcPr/>
          <w:p>
            <w:pPr>
              <w:pStyle w:val="Compact"/>
              <w:jc w:val="left"/>
            </w:pPr>
            <w:r>
              <w:t xml:space="preserve">Mobile Library Units in IDP Camps (2 sites)</w:t>
            </w:r>
          </w:p>
        </w:tc>
        <w:tc>
          <w:tcPr/>
          <w:p>
            <w:pPr>
              <w:pStyle w:val="Compact"/>
            </w:pPr>
          </w:p>
        </w:tc>
        <w:tc>
          <w:tcPr/>
          <w:p>
            <w:pPr>
              <w:pStyle w:val="Compact"/>
            </w:pPr>
          </w:p>
        </w:tc>
      </w:tr>
    </w:tbl>
    <w:bookmarkEnd w:id="22"/>
    <w:bookmarkStart w:id="26" w:name="X78f8946a5ac05cd516461ad3c8e5837930da12a"/>
    <w:p>
      <w:pPr>
        <w:pStyle w:val="Heading2"/>
      </w:pPr>
      <w:r>
        <w:t xml:space="preserve">Analysis: Librarian Impact in Sudan Khartoum Context</w:t>
      </w:r>
    </w:p>
    <w:p>
      <w:pPr>
        <w:pStyle w:val="FirstParagraph"/>
      </w:pPr>
      <w:r>
        <w:t xml:space="preserve">The Librarian’s role extends far beyond book shelving. In Sudan Khartoum, where access to educational resources remains strained due to economic volatility and infrastructure challenges, our Librarians function as vital community hubs. Key insights include:</w:t>
      </w:r>
    </w:p>
    <w:bookmarkStart w:id="23" w:name="resilience-amidst-economic-challenges"/>
    <w:p>
      <w:pPr>
        <w:pStyle w:val="Heading3"/>
      </w:pPr>
      <w:r>
        <w:t xml:space="preserve">1. Resilience Amidst Economic Challenges</w:t>
      </w:r>
    </w:p>
    <w:p>
      <w:pPr>
        <w:pStyle w:val="FirstParagraph"/>
      </w:pPr>
      <w:r>
        <w:t xml:space="preserve">Khartoum’s 20% inflation rate in Q3 significantly impacted library operations. However, the Librarian team pivoted by prioritizing low-cost/high-impact services: converting underutilized space into digital access zones (reducing equipment costs by 30%) and collaborating with local businesses for subsidized printing services. This strategic "resource sales" model ensured uninterrupted access to critical learning materials.</w:t>
      </w:r>
    </w:p>
    <w:bookmarkEnd w:id="23"/>
    <w:bookmarkStart w:id="24" w:name="community-driven-service-expansion"/>
    <w:p>
      <w:pPr>
        <w:pStyle w:val="Heading3"/>
      </w:pPr>
      <w:r>
        <w:t xml:space="preserve">2. Community-Driven Service Expansion</w:t>
      </w:r>
    </w:p>
    <w:p>
      <w:pPr>
        <w:pStyle w:val="FirstParagraph"/>
      </w:pPr>
      <w:r>
        <w:t xml:space="preserve">In response to community feedback gathered during Khartoum’s Ramadan season, Librarians launched "Nile Learning Hours" – extended evening sessions with free Quranic studies resources and Arabic-language digital archives. This initiative directly responded to local needs, attracting 62% more female patrons than previous periods. The Librarian’s adaptability transformed the library into a trusted community anchor.</w:t>
      </w:r>
    </w:p>
    <w:bookmarkEnd w:id="24"/>
    <w:bookmarkStart w:id="25" w:name="digital-inclusion-as-a-core-service"/>
    <w:p>
      <w:pPr>
        <w:pStyle w:val="Heading3"/>
      </w:pPr>
      <w:r>
        <w:t xml:space="preserve">3. Digital Inclusion as a Core Service</w:t>
      </w:r>
    </w:p>
    <w:p>
      <w:pPr>
        <w:pStyle w:val="FirstParagraph"/>
      </w:pPr>
      <w:r>
        <w:t xml:space="preserve">With internet penetration at only 41% in Khartoum (World Bank, 2023), the Librarian team provided free Wi-Fi hotspots and device lending. The +24.3% surge in digital access hours reflects patron reliance on these services, positioning NLS as Sudan’s most accessible knowledge gateway outside of universities.</w:t>
      </w:r>
    </w:p>
    <w:bookmarkEnd w:id="25"/>
    <w:bookmarkEnd w:id="26"/>
    <w:bookmarkStart w:id="27" w:name="Xd89cbc52bbf127b194a82d85aa03ead31d62c04"/>
    <w:p>
      <w:pPr>
        <w:pStyle w:val="Heading2"/>
      </w:pPr>
      <w:r>
        <w:t xml:space="preserve">Challenges Faced by Librarians in Khartoum</w:t>
      </w:r>
    </w:p>
    <w:p>
      <w:pPr>
        <w:pStyle w:val="FirstParagraph"/>
      </w:pPr>
      <w:r>
        <w:t xml:space="preserve">The Librarian team navigated significant obstacles during this reporting period:</w:t>
      </w:r>
    </w:p>
    <w:p>
      <w:pPr>
        <w:numPr>
          <w:ilvl w:val="0"/>
          <w:numId w:val="1002"/>
        </w:numPr>
        <w:pStyle w:val="Compact"/>
      </w:pPr>
      <w:r>
        <w:rPr>
          <w:bCs/>
          <w:b/>
        </w:rPr>
        <w:t xml:space="preserve">Supply Chain Disruptions:</w:t>
      </w:r>
      <w:r>
        <w:t xml:space="preserve"> </w:t>
      </w:r>
      <w:r>
        <w:t xml:space="preserve">30% delay in book shipments from Egypt due to port congestion, mitigated by prioritizing digital resource acquisition.</w:t>
      </w:r>
    </w:p>
    <w:p>
      <w:pPr>
        <w:numPr>
          <w:ilvl w:val="0"/>
          <w:numId w:val="1002"/>
        </w:numPr>
        <w:pStyle w:val="Compact"/>
      </w:pPr>
      <w:r>
        <w:rPr>
          <w:bCs/>
          <w:b/>
        </w:rPr>
        <w:t xml:space="preserve">Power Instability:</w:t>
      </w:r>
      <w:r>
        <w:t xml:space="preserve"> </w:t>
      </w:r>
      <w:r>
        <w:t xml:space="preserve">Frequent outages required Librarians to implement solar-powered charging stations for patrons, supported by a grant from the Khartoum City Council.</w:t>
      </w:r>
    </w:p>
    <w:p>
      <w:pPr>
        <w:numPr>
          <w:ilvl w:val="0"/>
          <w:numId w:val="1002"/>
        </w:numPr>
        <w:pStyle w:val="Compact"/>
      </w:pPr>
      <w:r>
        <w:rPr>
          <w:bCs/>
          <w:b/>
        </w:rPr>
        <w:t xml:space="preserve">Limited Youth Engagement:</w:t>
      </w:r>
      <w:r>
        <w:t xml:space="preserve"> </w:t>
      </w:r>
      <w:r>
        <w:t xml:space="preserve">Initial low attendance at tech workshops led to Librarian-led "Coding Saturdays" with local IT entrepreneurs, increasing youth participation by 70%.</w:t>
      </w:r>
    </w:p>
    <w:bookmarkEnd w:id="27"/>
    <w:bookmarkStart w:id="28" w:name="X105d48605213af3aa764b16486e1cd7fe8c8ab2"/>
    <w:p>
      <w:pPr>
        <w:pStyle w:val="Heading2"/>
      </w:pPr>
      <w:r>
        <w:t xml:space="preserve">Strategic Recommendations for Sudan Khartoum</w:t>
      </w:r>
    </w:p>
    <w:p>
      <w:pPr>
        <w:pStyle w:val="FirstParagraph"/>
      </w:pPr>
      <w:r>
        <w:t xml:space="preserve">To sustain growth and expand the Librarian’s service impact across Sudan Khartoum, we propose:</w:t>
      </w:r>
    </w:p>
    <w:p>
      <w:pPr>
        <w:numPr>
          <w:ilvl w:val="0"/>
          <w:numId w:val="1003"/>
        </w:numPr>
        <w:pStyle w:val="Compact"/>
      </w:pPr>
      <w:r>
        <w:rPr>
          <w:bCs/>
          <w:b/>
        </w:rPr>
        <w:t xml:space="preserve">Establish a Permanent "Resource Circulation Fund":</w:t>
      </w:r>
      <w:r>
        <w:t xml:space="preserve"> </w:t>
      </w:r>
      <w:r>
        <w:t xml:space="preserve">Dedicate 5% of annual budget to purchasing locally produced educational materials (e.g., Sudanese-authored books), directly supporting national cultural identity.</w:t>
      </w:r>
    </w:p>
    <w:p>
      <w:pPr>
        <w:numPr>
          <w:ilvl w:val="0"/>
          <w:numId w:val="1003"/>
        </w:numPr>
        <w:pStyle w:val="Compact"/>
      </w:pPr>
      <w:r>
        <w:rPr>
          <w:bCs/>
          <w:b/>
        </w:rPr>
        <w:t xml:space="preserve">Expand Mobile Library Units:</w:t>
      </w:r>
      <w:r>
        <w:t xml:space="preserve"> </w:t>
      </w:r>
      <w:r>
        <w:t xml:space="preserve">Partner with the Khartoum Transport Authority to deploy 3 additional mobile libraries targeting underserved neighborhoods like Shambat and Omdurman East.</w:t>
      </w:r>
    </w:p>
    <w:p>
      <w:pPr>
        <w:numPr>
          <w:ilvl w:val="0"/>
          <w:numId w:val="1003"/>
        </w:numPr>
        <w:pStyle w:val="Compact"/>
      </w:pPr>
      <w:r>
        <w:rPr>
          <w:bCs/>
          <w:b/>
        </w:rPr>
        <w:t xml:space="preserve">Create a Librarian Community Advisory Council:</w:t>
      </w:r>
      <w:r>
        <w:t xml:space="preserve"> </w:t>
      </w:r>
      <w:r>
        <w:t xml:space="preserve">Include local elders, teachers, and business leaders in Khartoum to co-design services, ensuring relevance to Sudanese communities.</w:t>
      </w:r>
    </w:p>
    <w:bookmarkEnd w:id="28"/>
    <w:bookmarkStart w:id="29" w:name="X1cc82c8d3faa105d8e933c3ad5f35b0a5d454fe"/>
    <w:p>
      <w:pPr>
        <w:pStyle w:val="Heading2"/>
      </w:pPr>
      <w:r>
        <w:t xml:space="preserve">Conclusion: The Librarian as Catalyst for Knowledge Equity</w:t>
      </w:r>
    </w:p>
    <w:p>
      <w:pPr>
        <w:pStyle w:val="FirstParagraph"/>
      </w:pPr>
      <w:r>
        <w:t xml:space="preserve">This Sales Report confirms that effective Librarian operations in Sudan Khartoum are not merely about managing collections—they are about catalyzing community resilience through knowledge access. The 14.7% increase in resource circulation during economic hardship demonstrates the Librarian’s irreplaceable role as a stabilizer for education, literacy, and civic engagement across Khartoum. As the National Library of Sudan continues to rebuild following recent challenges, investing in Librarian capacity—particularly through partnerships with institutions like Khartoum University and NGOs—will be fundamental to advancing Sudan’s national development goals. The Librarian is not just a custodian of books; they are a frontline agent for knowledge sovereignty in Khartoum and across the Republic of Sudan.</w:t>
      </w:r>
    </w:p>
    <w:p>
      <w:pPr>
        <w:pStyle w:val="BodyText"/>
      </w:pPr>
      <w:r>
        <w:rPr>
          <w:bCs/>
          <w:b/>
        </w:rPr>
        <w:t xml:space="preserve">Prepared By:</w:t>
      </w:r>
      <w:r>
        <w:t xml:space="preserve"> </w:t>
      </w:r>
      <w:r>
        <w:t xml:space="preserve">Amina Hassan, Head Librarian, National Library of Sudan</w:t>
      </w:r>
      <w:r>
        <w:br/>
      </w:r>
      <w:r>
        <w:rPr>
          <w:bCs/>
          <w:b/>
        </w:rPr>
        <w:t xml:space="preserve">Contact:</w:t>
      </w:r>
      <w:r>
        <w:t xml:space="preserve"> </w:t>
      </w:r>
      <w:r>
        <w:t xml:space="preserve">librarian@nls.gov.sd | +249 123 456 789 (Khartoum)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Operations at National Library of Sudan, Khartoum</dc:title>
  <dc:creator/>
  <cp:keywords/>
  <dcterms:created xsi:type="dcterms:W3CDTF">2025-12-10T02:41:36Z</dcterms:created>
  <dcterms:modified xsi:type="dcterms:W3CDTF">2025-12-10T02:41:36Z</dcterms:modified>
</cp:coreProperties>
</file>

<file path=docProps/custom.xml><?xml version="1.0" encoding="utf-8"?>
<Properties xmlns="http://schemas.openxmlformats.org/officeDocument/2006/custom-properties" xmlns:vt="http://schemas.openxmlformats.org/officeDocument/2006/docPropsVTypes"/>
</file>