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50ec18e101e82f09c75cc08fcfdcb90d9cc6857"/>
    <w:p>
      <w:pPr>
        <w:pStyle w:val="Heading1"/>
      </w:pPr>
      <w:r>
        <w:t xml:space="preserve">ANNUAL SALES PERFORMANCE REPORT: LIBRARIAN EXCELLENCE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Dubai Library Management Council, United Arab Emirates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exceptional performance of our dedicated Librarian team within the cultural and educational ecosystem of Dubai, United Arab Emirates. Serving as the cornerstone of knowledge dissemination across metropolitan Dubai, our librarians have significantly contributed to record-breaking engagement metrics that directly align with UAE's strategic vision for knowledge-based economic growth. This document underscores how meticulous cataloging, innovative programming, and community-focused service delivery have transformed library operations into a high-impact revenue-generating asset within the United Arab Emirates Dubai landscape.</w:t>
      </w:r>
    </w:p>
    <w:bookmarkEnd w:id="20"/>
    <w:bookmarkStart w:id="21" w:name="X679e445b8b7588a22dc9415598d80479cfc339f"/>
    <w:p>
      <w:pPr>
        <w:pStyle w:val="Heading2"/>
      </w:pPr>
      <w:r>
        <w:t xml:space="preserve">1. LIBRARIAN PERFORMANCE IN DUBAI'S KNOWLEDGE ECONOMY</w:t>
      </w:r>
    </w:p>
    <w:p>
      <w:pPr>
        <w:pStyle w:val="FirstParagraph"/>
      </w:pPr>
      <w:r>
        <w:t xml:space="preserve">In the context of Dubai's ambitious 'Dubai 2040 Urban Master Plan' and UAE Vision 2030, libraries transcend traditional repositories to become catalysts for intellectual capital development. Our Librarian staff have been instrumental in converting this vision into tangible results. The annual Sales Report reveals a remarkable 37% year-over-year increase in library service utilization across all Dubai branches—directly attributable to strategic initiatives led by our librarian professionals.</w:t>
      </w:r>
    </w:p>
    <w:p>
      <w:pPr>
        <w:pStyle w:val="BodyText"/>
      </w:pPr>
      <w:r>
        <w:t xml:space="preserve">Unlike conventional retail sales metrics, our 'sales' measure encompasses: (1) Digital resource downloads, (2) Program attendance conversions, (3) Community partnership activations, and (4) Resource checkout volumes. The Librarian team consistently exceeded targets in all four categories while maintaining Dubai's renowned standard of service excellence.</w:t>
      </w:r>
    </w:p>
    <w:bookmarkEnd w:id="21"/>
    <w:bookmarkStart w:id="22" w:name="X3a56590c91d9f5529f43aebfb1deb6e4651eb57"/>
    <w:p>
      <w:pPr>
        <w:pStyle w:val="Heading2"/>
      </w:pPr>
      <w:r>
        <w:t xml:space="preserve">2. KEY PERFORMANCE METRICS: SALES REPORT ANALYSIS</w:t>
      </w:r>
    </w:p>
    <w:p>
      <w:pPr>
        <w:pStyle w:val="FirstParagraph"/>
      </w:pPr>
      <w:r>
        <w:t xml:space="preserve">Key Metric</w:t>
      </w:r>
    </w:p>
    <w:p>
      <w:pPr>
        <w:pStyle w:val="BodyText"/>
      </w:pPr>
      <w:r>
        <w:t xml:space="preserve">2023 Target</w:t>
      </w:r>
    </w:p>
    <w:p>
      <w:pPr>
        <w:pStyle w:val="BodyText"/>
      </w:pPr>
      <w:r>
        <w:t xml:space="preserve">Actual Achievement</w:t>
      </w:r>
    </w:p>
    <w:p>
      <w:pPr>
        <w:pStyle w:val="BodyText"/>
      </w:pPr>
      <w:r>
        <w:t xml:space="preserve">Variance (%)</w:t>
      </w:r>
    </w:p>
    <w:p>
      <w:pPr>
        <w:pStyle w:val="BodyText"/>
      </w:pPr>
      <w:r>
        <w:t xml:space="preserve">Digital Resource Checkouts (eBooks, Journals)</w:t>
      </w:r>
    </w:p>
    <w:p>
      <w:pPr>
        <w:pStyle w:val="BodyText"/>
      </w:pPr>
      <w:r>
        <w:t xml:space="preserve">1.8M</w:t>
      </w:r>
    </w:p>
    <w:p>
      <w:pPr>
        <w:pStyle w:val="BodyText"/>
      </w:pPr>
      <w:r>
        <w:t xml:space="preserve">2.45M</w:t>
      </w:r>
    </w:p>
    <w:p>
      <w:pPr>
        <w:pStyle w:val="BodyText"/>
      </w:pPr>
      <w:r>
        <w:t xml:space="preserve">+36.1%</w:t>
      </w:r>
    </w:p>
    <w:p>
      <w:pPr>
        <w:pStyle w:val="BodyText"/>
      </w:pPr>
      <w:r>
        <w:t xml:space="preserve">Program Attendance (Workshops, Lectures)</w:t>
      </w:r>
    </w:p>
    <w:p>
      <w:pPr>
        <w:pStyle w:val="BodyText"/>
      </w:pPr>
      <w:r>
        <w:t xml:space="preserve">42,000</w:t>
      </w:r>
    </w:p>
    <w:p>
      <w:pPr>
        <w:pStyle w:val="BodyText"/>
      </w:pPr>
      <w:r>
        <w:t xml:space="preserve">58,600</w:t>
      </w:r>
    </w:p>
    <w:p>
      <w:pPr>
        <w:pStyle w:val="BodyText"/>
      </w:pPr>
      <w:r>
        <w:t xml:space="preserve">+39.5%</w:t>
      </w:r>
    </w:p>
    <w:p>
      <w:pPr>
        <w:pStyle w:val="BodyText"/>
      </w:pPr>
      <w:r>
        <w:t xml:space="preserve">New Community Partnerships Secured</w:t>
      </w:r>
    </w:p>
    <w:p>
      <w:pPr>
        <w:pStyle w:val="BodyText"/>
      </w:pPr>
      <w:r>
        <w:t xml:space="preserve">12</w:t>
      </w:r>
    </w:p>
    <w:p>
      <w:pPr>
        <w:pStyle w:val="BodyText"/>
      </w:pPr>
      <w:r>
        <w:t xml:space="preserve">21</w:t>
      </w:r>
    </w:p>
    <w:p>
      <w:pPr>
        <w:pStyle w:val="BodyText"/>
      </w:pPr>
      <w:r>
        <w:t xml:space="preserve">+75.0%</w:t>
      </w:r>
    </w:p>
    <w:p>
      <w:pPr>
        <w:pStyle w:val="BodyText"/>
      </w:pPr>
      <w:r>
        <w:t xml:space="preserve">Mobile App Engagement (Dubai Library Connect)</w:t>
      </w:r>
    </w:p>
    <w:p>
      <w:pPr>
        <w:pStyle w:val="BodyText"/>
      </w:pPr>
      <w:r>
        <w:t xml:space="preserve">85%</w:t>
      </w:r>
    </w:p>
    <w:bookmarkEnd w:id="22"/>
    <w:bookmarkStart w:id="26" w:name="Xfcd6e549d8908b07596c04218b4cf0a43cce98d"/>
    <w:p>
      <w:pPr>
        <w:pStyle w:val="Heading2"/>
      </w:pPr>
      <w:r>
        <w:t xml:space="preserve">3. STRATEGIC INITIATIVES DRIVING SALES PERFORMANCE</w:t>
      </w:r>
    </w:p>
    <w:p>
      <w:pPr>
        <w:pStyle w:val="FirstParagraph"/>
      </w:pPr>
      <w:r>
        <w:t xml:space="preserve">The Librarian team's success in United Arab Emirates Dubai stems from three groundbreaking initiatives that redefined library engagement:</w:t>
      </w:r>
    </w:p>
    <w:bookmarkStart w:id="23" w:name="uae-heritage-digital-archive-project"/>
    <w:p>
      <w:pPr>
        <w:pStyle w:val="Heading3"/>
      </w:pPr>
      <w:r>
        <w:t xml:space="preserve">3.1 UAE Heritage Digital Archive Project</w:t>
      </w:r>
    </w:p>
    <w:p>
      <w:pPr>
        <w:pStyle w:val="FirstParagraph"/>
      </w:pPr>
      <w:r>
        <w:t xml:space="preserve">Our Librarians spearheaded the digitization of 12,000+ historical documents related to Dubai's cultural heritage, creating a premium digital subscription service. This initiative generated AED 857,000 in direct revenue and attracted partnerships with UAE Ministry of Culture and the Dubai Museums Authority. The Sales Report confirms this project contributed 22% to total library service revenue—a figure unprecedented in regional public libraries.</w:t>
      </w:r>
    </w:p>
    <w:bookmarkEnd w:id="23"/>
    <w:bookmarkStart w:id="24" w:name="corporate-learning-partnerships"/>
    <w:p>
      <w:pPr>
        <w:pStyle w:val="Heading3"/>
      </w:pPr>
      <w:r>
        <w:t xml:space="preserve">3.2 Corporate Learning Partnerships</w:t>
      </w:r>
    </w:p>
    <w:p>
      <w:pPr>
        <w:pStyle w:val="FirstParagraph"/>
      </w:pPr>
      <w:r>
        <w:t xml:space="preserve">Recognizing Dubai's status as a global business hub, Librarians established tailored knowledge packages for Fortune 500 companies operating in Dubai International Financial Centre (DIFC) and Dubai Internet City. These B2B services now generate AED 1.2M monthly, representing a 300% growth since the program's inception. The Sales Report highlights that Librarians' consultative approach to identifying corporate learning needs drove this exponential growth.</w:t>
      </w:r>
    </w:p>
    <w:bookmarkEnd w:id="24"/>
    <w:bookmarkStart w:id="25" w:name="youth-engagement-ecosystem"/>
    <w:p>
      <w:pPr>
        <w:pStyle w:val="Heading3"/>
      </w:pPr>
      <w:r>
        <w:t xml:space="preserve">3.3 Youth Engagement Ecosystem</w:t>
      </w:r>
    </w:p>
    <w:p>
      <w:pPr>
        <w:pStyle w:val="FirstParagraph"/>
      </w:pPr>
      <w:r>
        <w:t xml:space="preserve">Through strategic programming aligned with UAE's 'Youth Strategy 2031', Librarians created Dubai's first AI-powered reading incentive platform. This initiative increased children's library visits by 47% and generated AED 280,000 through affiliated bookstore partnerships. The Sales Report emphasizes that this program alone accounted for 15% of total non-transactional revenue growth.</w:t>
      </w:r>
    </w:p>
    <w:bookmarkEnd w:id="25"/>
    <w:bookmarkEnd w:id="26"/>
    <w:bookmarkStart w:id="27" w:name="innovation-and-community-impact"/>
    <w:p>
      <w:pPr>
        <w:pStyle w:val="Heading2"/>
      </w:pPr>
      <w:r>
        <w:t xml:space="preserve">4. INNOVATION AND COMMUNITY IMPACT</w:t>
      </w:r>
    </w:p>
    <w:p>
      <w:pPr>
        <w:pStyle w:val="FirstParagraph"/>
      </w:pPr>
      <w:r>
        <w:t xml:space="preserve">What sets our Librarian team apart in United Arab Emirates Dubai is their ability to transform service delivery into measurable commercial value while serving the community. The Sales Report details how:</w:t>
      </w:r>
    </w:p>
    <w:p>
      <w:pPr>
        <w:numPr>
          <w:ilvl w:val="0"/>
          <w:numId w:val="1001"/>
        </w:numPr>
        <w:pStyle w:val="Compact"/>
      </w:pPr>
      <w:r>
        <w:t xml:space="preserve">A Ramadan literacy campaign generated AED 145,000 in partnership revenue with local emirates</w:t>
      </w:r>
    </w:p>
    <w:p>
      <w:pPr>
        <w:numPr>
          <w:ilvl w:val="0"/>
          <w:numId w:val="1001"/>
        </w:numPr>
        <w:pStyle w:val="Compact"/>
      </w:pPr>
      <w:r>
        <w:t xml:space="preserve">Librarians' data-driven resource acquisition strategy increased textbook checkout rates by 32% among Dubai university students</w:t>
      </w:r>
    </w:p>
    <w:p>
      <w:pPr>
        <w:numPr>
          <w:ilvl w:val="0"/>
          <w:numId w:val="1001"/>
        </w:numPr>
        <w:pStyle w:val="Compact"/>
      </w:pPr>
      <w:r>
        <w:t xml:space="preserve">Specialized Arabic-English bilingual services for Dubai's expatriate community drove a 58% increase in premium membership sign-ups</w:t>
      </w:r>
    </w:p>
    <w:bookmarkEnd w:id="27"/>
    <w:bookmarkStart w:id="28" w:name="Xd60801249b2a02eba854da97542a64aec7f4f78"/>
    <w:p>
      <w:pPr>
        <w:pStyle w:val="Heading2"/>
      </w:pPr>
      <w:r>
        <w:t xml:space="preserve">5. FUTURE STRATEGY: EXTENDING SALES LEADERSHIP IN DUBAI</w:t>
      </w:r>
    </w:p>
    <w:p>
      <w:pPr>
        <w:pStyle w:val="FirstParagraph"/>
      </w:pPr>
      <w:r>
        <w:t xml:space="preserve">Building on this success, the Librarian team has proposed three revenue-enhancing initiatives for 2024 that directly support Dubai's economic diversification goals:</w:t>
      </w:r>
    </w:p>
    <w:p>
      <w:pPr>
        <w:numPr>
          <w:ilvl w:val="0"/>
          <w:numId w:val="1002"/>
        </w:numPr>
        <w:pStyle w:val="Compact"/>
      </w:pPr>
      <w:r>
        <w:rPr>
          <w:bCs/>
          <w:b/>
        </w:rPr>
        <w:t xml:space="preserve">Dubai Knowledge Market Expansion:</w:t>
      </w:r>
      <w:r>
        <w:t xml:space="preserve"> </w:t>
      </w:r>
      <w:r>
        <w:t xml:space="preserve">Launching a dedicated platform for UAE entrepreneurs to access market research (projected revenue: AED 3.5M/year)</w:t>
      </w:r>
    </w:p>
    <w:p>
      <w:pPr>
        <w:numPr>
          <w:ilvl w:val="0"/>
          <w:numId w:val="1002"/>
        </w:numPr>
        <w:pStyle w:val="Compact"/>
      </w:pPr>
      <w:r>
        <w:rPr>
          <w:bCs/>
          <w:b/>
        </w:rPr>
        <w:t xml:space="preserve">Heritage Experience Packages:</w:t>
      </w:r>
      <w:r>
        <w:t xml:space="preserve"> </w:t>
      </w:r>
      <w:r>
        <w:t xml:space="preserve">Premium museum-library collaboration experiences targeting tourists (estimated 20% occupancy rate at Dubai Mall libraries)</w:t>
      </w:r>
    </w:p>
    <w:p>
      <w:pPr>
        <w:numPr>
          <w:ilvl w:val="0"/>
          <w:numId w:val="1002"/>
        </w:numPr>
        <w:pStyle w:val="Compact"/>
      </w:pPr>
      <w:r>
        <w:rPr>
          <w:bCs/>
          <w:b/>
        </w:rPr>
        <w:t xml:space="preserve">Corporate Knowledge Pods:</w:t>
      </w:r>
      <w:r>
        <w:t xml:space="preserve"> </w:t>
      </w:r>
      <w:r>
        <w:t xml:space="preserve">Customized private research suites for Dubai-based multinational corporations</w:t>
      </w:r>
    </w:p>
    <w:bookmarkEnd w:id="28"/>
    <w:bookmarkStart w:id="29" w:name="Xa5e43abe44f4bb6f5df0b3b4c072cfd5c4e1288"/>
    <w:p>
      <w:pPr>
        <w:pStyle w:val="Heading2"/>
      </w:pPr>
      <w:r>
        <w:t xml:space="preserve">6. CONCLUSION: LIBRARIANS AS STRATEGIC SALES PARTNERS</w:t>
      </w:r>
    </w:p>
    <w:p>
      <w:pPr>
        <w:pStyle w:val="FirstParagraph"/>
      </w:pPr>
      <w:r>
        <w:t xml:space="preserve">This Sales Report unequivocally demonstrates that in the dynamic environment of United Arab Emirates Dubai, Librarians have evolved from service providers to strategic revenue architects. Their work directly supports UAE's vision for a knowledge-driven economy while delivering exceptional community value. The 37% growth in service utilization and 41% increase in diversified revenue streams—achieved during a period of significant global economic volatility—cements the Librarian role as pivotal to Dubai's cultural and economic infrastructure.</w:t>
      </w:r>
    </w:p>
    <w:p>
      <w:pPr>
        <w:pStyle w:val="BodyText"/>
      </w:pPr>
      <w:r>
        <w:t xml:space="preserve">As we move toward Dubai's centennial celebration, our Librarians will continue to be the frontline ambassadors for knowledge commerce in United Arab Emirates Dubai. They don't merely manage books; they curate intellectual capital that fuels both community enrichment and sustainable revenue growth. The success documented in this Annual Sales Report proves that in modern Dubai, librarianship is not just a profession—it's a high-impact business driver transforming how knowledge creates value for the entire region.</w:t>
      </w:r>
    </w:p>
    <w:bookmarkEnd w:id="29"/>
    <w:bookmarkStart w:id="30" w:name="appendix-sales-report-sign-off"/>
    <w:p>
      <w:pPr>
        <w:pStyle w:val="Heading2"/>
      </w:pPr>
      <w:r>
        <w:t xml:space="preserve">APPENDIX: SALES REPORT SIGN-OFF</w:t>
      </w:r>
    </w:p>
    <w:p>
      <w:pPr>
        <w:pStyle w:val="FirstParagraph"/>
      </w:pPr>
      <w:r>
        <w:t xml:space="preserve">Approved by:</w:t>
      </w:r>
    </w:p>
    <w:p>
      <w:pPr>
        <w:pStyle w:val="BodyText"/>
      </w:pPr>
      <w:r>
        <w:rPr>
          <w:bCs/>
          <w:b/>
        </w:rPr>
        <w:t xml:space="preserve">Dr. Amal Al Muhairi</w:t>
      </w:r>
      <w:r>
        <w:br/>
      </w:r>
      <w:r>
        <w:t xml:space="preserve">Director of Library Services, Dubai Culture &amp; Arts Authority</w:t>
      </w:r>
      <w:r>
        <w:br/>
      </w:r>
      <w:r>
        <w:t xml:space="preserve">United Arab Emirates Dubai</w:t>
      </w:r>
    </w:p>
    <w:p>
      <w:pPr>
        <w:pStyle w:val="BodyText"/>
      </w:pPr>
      <w:r>
        <w:t xml:space="preserve">This Sales Report is filed under the Dubai Library Management System (DLMS) with reference #DL-2023-SR-789</w:t>
      </w:r>
    </w:p>
    <w:p>
      <w:r>
        <w:pict>
          <v:rect style="width:0;height:1.5pt" o:hralign="center" o:hrstd="t" o:hr="t"/>
        </w:pict>
      </w:r>
    </w:p>
    <w:p>
      <w:pPr>
        <w:pStyle w:val="FirstParagraph"/>
      </w:pPr>
      <w:r>
        <w:rPr>
          <w:bCs/>
          <w:b/>
        </w:rPr>
        <w:t xml:space="preserve">Report Verification:</w:t>
      </w:r>
      <w:r>
        <w:t xml:space="preserve"> </w:t>
      </w:r>
      <w:r>
        <w:t xml:space="preserve">This document complies with UAE Federal Law No. (16) of 2014 on Libraries and the Dubai Government's Digital Transformation Strategy. All revenue figures audited by EY Dubai.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Librarian Excellence in United Arab Emirates Dubai</dc:title>
  <dc:creator/>
  <cp:keywords/>
  <dcterms:created xsi:type="dcterms:W3CDTF">2026-07-23T14:12:50Z</dcterms:created>
  <dcterms:modified xsi:type="dcterms:W3CDTF">2026-07-23T14:12:50Z</dcterms:modified>
</cp:coreProperties>
</file>

<file path=docProps/custom.xml><?xml version="1.0" encoding="utf-8"?>
<Properties xmlns="http://schemas.openxmlformats.org/officeDocument/2006/custom-properties" xmlns:vt="http://schemas.openxmlformats.org/officeDocument/2006/docPropsVTypes"/>
</file>