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p>
    <w:bookmarkStart w:id="27" w:name="X33eea5d1b550738ed5543c40cfc3f52e9a45218"/>
    <w:p>
      <w:pPr>
        <w:pStyle w:val="Heading1"/>
      </w:pPr>
      <w:r>
        <w:t xml:space="preserve">Sales Performance Report: Strategic Insights for Librarians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Directors &amp; Administrative Leadership, Miami-Dade County Public Libraries</w:t>
      </w:r>
      <w:r>
        <w:br/>
      </w:r>
      <w:r>
        <w:rPr>
          <w:bCs/>
          <w:b/>
        </w:rPr>
        <w:t xml:space="preserve">Prepared By:</w:t>
      </w:r>
      <w:r>
        <w:t xml:space="preserve"> </w:t>
      </w:r>
      <w:r>
        <w:t xml:space="preserve">National Library Solutions Group (NLSG)</w:t>
      </w:r>
    </w:p>
    <w:bookmarkStart w:id="20" w:name="i.-executive-summary"/>
    <w:p>
      <w:pPr>
        <w:pStyle w:val="Heading2"/>
      </w:pPr>
      <w:r>
        <w:t xml:space="preserve">I. Executive Summary</w:t>
      </w:r>
    </w:p>
    <w:p>
      <w:pPr>
        <w:pStyle w:val="FirstParagraph"/>
      </w:pPr>
      <w:r>
        <w:t xml:space="preserve">This comprehensive Sales Report details the market performance of library technology solutions and resource acquisitions across the United States Miami metropolitan area. As a specialized provider serving librarians nationwide, NLSG has recorded a 23% year-over-year growth in Miami-specific contracts since 2021, directly attributable to our tailored approach for</w:t>
      </w:r>
      <w:r>
        <w:t xml:space="preserve"> </w:t>
      </w:r>
      <w:r>
        <w:rPr>
          <w:iCs/>
          <w:i/>
        </w:rPr>
        <w:t xml:space="preserve">United States Miami</w:t>
      </w:r>
      <w:r>
        <w:t xml:space="preserve">'s unique community needs. This report underscores how strategic partnerships with librarians have driven innovation in public library services while navigating the economic and demographic landscape of South Florida. Our data confirms that librarian-led decision-making remains critical to successful resource allocation across all Miami library branches, from Wynwood to Key Biscayne.</w:t>
      </w:r>
    </w:p>
    <w:bookmarkEnd w:id="20"/>
    <w:bookmarkStart w:id="21" w:name="ii.-miami-specific-market-analysis"/>
    <w:p>
      <w:pPr>
        <w:pStyle w:val="Heading2"/>
      </w:pPr>
      <w:r>
        <w:t xml:space="preserve">II. Miami-Specific Market Analysis</w:t>
      </w:r>
    </w:p>
    <w:p>
      <w:pPr>
        <w:pStyle w:val="FirstParagraph"/>
      </w:pPr>
      <w:r>
        <w:t xml:space="preserve">United States Miami presents a dynamic environment for library services due to its rapidly growing diverse population (58% Hispanic/Latino, 17% Caribbean descent) and high tourism volume. Our Sales Report reveals that 89% of Miami librarians prioritize multilingual resources and digital literacy programs – directly impacting our product adoption rates. In Q3 2023 alone, we delivered:</w:t>
      </w:r>
    </w:p>
    <w:p>
      <w:pPr>
        <w:numPr>
          <w:ilvl w:val="0"/>
          <w:numId w:val="1001"/>
        </w:numPr>
        <w:pStyle w:val="Compact"/>
      </w:pPr>
      <w:r>
        <w:rPr>
          <w:bCs/>
          <w:b/>
        </w:rPr>
        <w:t xml:space="preserve">47 new technology installations</w:t>
      </w:r>
      <w:r>
        <w:t xml:space="preserve"> </w:t>
      </w:r>
      <w:r>
        <w:t xml:space="preserve">across Miami-Dade libraries (including self-checkout systems and mobile app integrations)</w:t>
      </w:r>
    </w:p>
    <w:p>
      <w:pPr>
        <w:numPr>
          <w:ilvl w:val="0"/>
          <w:numId w:val="1001"/>
        </w:numPr>
        <w:pStyle w:val="Compact"/>
      </w:pPr>
      <w:r>
        <w:rPr>
          <w:bCs/>
          <w:b/>
        </w:rPr>
        <w:t xml:space="preserve">65% increase</w:t>
      </w:r>
      <w:r>
        <w:t xml:space="preserve"> </w:t>
      </w:r>
      <w:r>
        <w:t xml:space="preserve">in Spanish-language e-book acquisitions requested by librarians at 12 major branches</w:t>
      </w:r>
    </w:p>
    <w:p>
      <w:pPr>
        <w:numPr>
          <w:ilvl w:val="0"/>
          <w:numId w:val="1001"/>
        </w:numPr>
        <w:pStyle w:val="Compact"/>
      </w:pPr>
      <w:r>
        <w:rPr>
          <w:bCs/>
          <w:b/>
        </w:rPr>
        <w:t xml:space="preserve">$1.2M in new contracts</w:t>
      </w:r>
      <w:r>
        <w:t xml:space="preserve"> </w:t>
      </w:r>
      <w:r>
        <w:t xml:space="preserve">for digital resource platforms specifically designed for Miami's immigrant communities</w:t>
      </w:r>
    </w:p>
    <w:p>
      <w:pPr>
        <w:pStyle w:val="FirstParagraph"/>
      </w:pPr>
      <w:r>
        <w:t xml:space="preserve">The data confirms that librarian input directly shapes our product development pipeline. For instance, Miami-Dade librarians' feedback on hurricane preparedness led to our "Library Resilience Package" – now implemented in 15 libraries following a 2022 storm surge incident.</w:t>
      </w:r>
    </w:p>
    <w:bookmarkEnd w:id="21"/>
    <w:bookmarkStart w:id="22" w:name="iii.-librarian-centric-sales-strategy"/>
    <w:p>
      <w:pPr>
        <w:pStyle w:val="Heading2"/>
      </w:pPr>
      <w:r>
        <w:t xml:space="preserve">III. Librarian-Centric Sales Strategy</w:t>
      </w:r>
    </w:p>
    <w:p>
      <w:pPr>
        <w:pStyle w:val="FirstParagraph"/>
      </w:pPr>
      <w:r>
        <w:t xml:space="preserve">NLSG's approach prioritizes the librarian as the central decision-maker, recognizing their unique position at the intersection of community needs and institutional budgets. Our Miami engagement model includes:</w:t>
      </w:r>
    </w:p>
    <w:p>
      <w:pPr>
        <w:numPr>
          <w:ilvl w:val="0"/>
          <w:numId w:val="1002"/>
        </w:numPr>
        <w:pStyle w:val="Compact"/>
      </w:pPr>
      <w:r>
        <w:rPr>
          <w:bCs/>
          <w:b/>
        </w:rPr>
        <w:t xml:space="preserve">Monthly Librarian Advisory Councils:</w:t>
      </w:r>
      <w:r>
        <w:t xml:space="preserve"> </w:t>
      </w:r>
      <w:r>
        <w:t xml:space="preserve">Biweekly virtual sessions with 30+ Miami librarians to co-design resource packages</w:t>
      </w:r>
    </w:p>
    <w:p>
      <w:pPr>
        <w:numPr>
          <w:ilvl w:val="0"/>
          <w:numId w:val="1002"/>
        </w:numPr>
        <w:pStyle w:val="Compact"/>
      </w:pPr>
      <w:r>
        <w:rPr>
          <w:bCs/>
          <w:b/>
        </w:rPr>
        <w:t xml:space="preserve">Customized Analytics Dashboards:</w:t>
      </w:r>
      <w:r>
        <w:t xml:space="preserve"> </w:t>
      </w:r>
      <w:r>
        <w:t xml:space="preserve">Real-time access for librarians to track usage metrics of purchased resources (e.g., "This week, 72% of Spanish e-books were checked out at Opa-locka Library")</w:t>
      </w:r>
    </w:p>
    <w:p>
      <w:pPr>
        <w:numPr>
          <w:ilvl w:val="0"/>
          <w:numId w:val="1002"/>
        </w:numPr>
        <w:pStyle w:val="Compact"/>
      </w:pPr>
      <w:r>
        <w:rPr>
          <w:bCs/>
          <w:b/>
        </w:rPr>
        <w:t xml:space="preserve">Professional Development Grants:</w:t>
      </w:r>
      <w:r>
        <w:t xml:space="preserve"> </w:t>
      </w:r>
      <w:r>
        <w:t xml:space="preserve">100% funding for librarian training on new platforms – a key factor in our 89% client retention rate</w:t>
      </w:r>
    </w:p>
    <w:p>
      <w:pPr>
        <w:pStyle w:val="FirstParagraph"/>
      </w:pPr>
      <w:r>
        <w:t xml:space="preserve">This strategy has proven effective: Librarians who participated in our advisory councils increased their department's technology adoption by 41% compared to non-participating peers. The Miami-Dade County Library System's recent digital transformation initiative directly resulted from these collaborative sessions.</w:t>
      </w:r>
    </w:p>
    <w:bookmarkEnd w:id="22"/>
    <w:bookmarkStart w:id="23" w:name="Xae8b58c296cb126946f5f76eac4e7bceabaae3c"/>
    <w:p>
      <w:pPr>
        <w:pStyle w:val="Heading2"/>
      </w:pPr>
      <w:r>
        <w:t xml:space="preserve">IV. Success Case Study: The Wynwood Library Transformation</w:t>
      </w:r>
    </w:p>
    <w:p>
      <w:pPr>
        <w:pStyle w:val="FirstParagraph"/>
      </w:pPr>
      <w:r>
        <w:t xml:space="preserve">In 2023, our Sales Report highlighted the Wynwood Neighborhood Library project – a case study in librarian-led success. Facing declining youth engagement and outdated technology, local librarian Maria Chen spearheaded a needs assessment that identified:</w:t>
      </w:r>
    </w:p>
    <w:p>
      <w:pPr>
        <w:numPr>
          <w:ilvl w:val="0"/>
          <w:numId w:val="1003"/>
        </w:numPr>
        <w:pStyle w:val="Compact"/>
      </w:pPr>
      <w:r>
        <w:t xml:space="preserve">68% of patrons aged 14-25 requested better tech access</w:t>
      </w:r>
    </w:p>
    <w:p>
      <w:pPr>
        <w:numPr>
          <w:ilvl w:val="0"/>
          <w:numId w:val="1003"/>
        </w:numPr>
        <w:pStyle w:val="Compact"/>
      </w:pPr>
      <w:r>
        <w:t xml:space="preserve">Zero Spanish-speaking staff for digital literacy sessions</w:t>
      </w:r>
    </w:p>
    <w:p>
      <w:pPr>
        <w:pStyle w:val="FirstParagraph"/>
      </w:pPr>
      <w:r>
        <w:t xml:space="preserve">NLSG provided a customized package including:</w:t>
      </w:r>
    </w:p>
    <w:p>
      <w:pPr>
        <w:numPr>
          <w:ilvl w:val="0"/>
          <w:numId w:val="1004"/>
        </w:numPr>
        <w:pStyle w:val="Compact"/>
      </w:pPr>
      <w:r>
        <w:t xml:space="preserve">5 new multilingual computers with offline learning modules</w:t>
      </w:r>
    </w:p>
    <w:p>
      <w:pPr>
        <w:numPr>
          <w:ilvl w:val="0"/>
          <w:numId w:val="1004"/>
        </w:numPr>
        <w:pStyle w:val="Compact"/>
      </w:pPr>
      <w:r>
        <w:t xml:space="preserve">A "Tech Buddy" training program for library staff (led by the librarian)</w:t>
      </w:r>
    </w:p>
    <w:p>
      <w:pPr>
        <w:numPr>
          <w:ilvl w:val="0"/>
          <w:numId w:val="1004"/>
        </w:numPr>
        <w:pStyle w:val="Compact"/>
      </w:pPr>
      <w:r>
        <w:t xml:space="preserve">Community partnerships with Miami Tech Hub for after-hours coding workshops</w:t>
      </w:r>
    </w:p>
    <w:p>
      <w:pPr>
        <w:pStyle w:val="FirstParagraph"/>
      </w:pPr>
      <w:r>
        <w:t xml:space="preserve">The results, documented in our Sales Report:</w:t>
      </w:r>
    </w:p>
    <w:p>
      <w:pPr>
        <w:numPr>
          <w:ilvl w:val="0"/>
          <w:numId w:val="1005"/>
        </w:numPr>
        <w:pStyle w:val="Compact"/>
      </w:pPr>
      <w:r>
        <w:t xml:space="preserve">Foot traffic increased 37% within 6 months</w:t>
      </w:r>
    </w:p>
    <w:p>
      <w:pPr>
        <w:numPr>
          <w:ilvl w:val="0"/>
          <w:numId w:val="1005"/>
        </w:numPr>
        <w:pStyle w:val="Compact"/>
      </w:pPr>
      <w:r>
        <w:t xml:space="preserve">Youth program participation rose from 42 to 218 weekly attendees</w:t>
      </w:r>
    </w:p>
    <w:p>
      <w:pPr>
        <w:numPr>
          <w:ilvl w:val="0"/>
          <w:numId w:val="1005"/>
        </w:numPr>
        <w:pStyle w:val="Compact"/>
      </w:pPr>
      <w:r>
        <w:t xml:space="preserve">Librarian Chen received the "Miami Community Champion" award from the City Council</w:t>
      </w:r>
    </w:p>
    <w:bookmarkEnd w:id="23"/>
    <w:bookmarkStart w:id="24" w:name="X35fba1ae3074ef64d360db1a054182c7b797aa9"/>
    <w:p>
      <w:pPr>
        <w:pStyle w:val="Heading2"/>
      </w:pPr>
      <w:r>
        <w:t xml:space="preserve">V. Challenges &amp; Strategic Recommendations for United States Miami Librarians</w:t>
      </w:r>
    </w:p>
    <w:p>
      <w:pPr>
        <w:pStyle w:val="FirstParagraph"/>
      </w:pPr>
      <w:r>
        <w:t xml:space="preserve">Our Sales Report identifies three critical challenges facing librarians in South Florida:</w:t>
      </w:r>
    </w:p>
    <w:p>
      <w:pPr>
        <w:numPr>
          <w:ilvl w:val="0"/>
          <w:numId w:val="1006"/>
        </w:numPr>
        <w:pStyle w:val="Compact"/>
      </w:pPr>
      <w:r>
        <w:rPr>
          <w:bCs/>
          <w:b/>
        </w:rPr>
        <w:t xml:space="preserve">Funding Volatility:</w:t>
      </w:r>
      <w:r>
        <w:t xml:space="preserve"> </w:t>
      </w:r>
      <w:r>
        <w:t xml:space="preserve">64% of Miami libraries report budget fluctuations exceeding 15% annually. Recommendation: Adopt our "Community Resource Exchange" model where libraries barter services (e.g., offering space for tech workshops in exchange for free software licenses).</w:t>
      </w:r>
    </w:p>
    <w:p>
      <w:pPr>
        <w:numPr>
          <w:ilvl w:val="0"/>
          <w:numId w:val="1006"/>
        </w:numPr>
        <w:pStyle w:val="Compact"/>
      </w:pPr>
      <w:r>
        <w:rPr>
          <w:bCs/>
          <w:b/>
        </w:rPr>
        <w:t xml:space="preserve">Digital Divide:</w:t>
      </w:r>
      <w:r>
        <w:t xml:space="preserve"> </w:t>
      </w:r>
      <w:r>
        <w:t xml:space="preserve">While 83% of Miami households have internet, only 42% access quality library resources. Recommendation: Implement our "Digital Equity Kits" – portable devices with pre-loaded educational content.</w:t>
      </w:r>
    </w:p>
    <w:p>
      <w:pPr>
        <w:numPr>
          <w:ilvl w:val="0"/>
          <w:numId w:val="1006"/>
        </w:numPr>
        <w:pStyle w:val="Compact"/>
      </w:pPr>
      <w:r>
        <w:rPr>
          <w:bCs/>
          <w:b/>
        </w:rPr>
        <w:t xml:space="preserve">Cultural Relevance Gap:</w:t>
      </w:r>
      <w:r>
        <w:t xml:space="preserve"> </w:t>
      </w:r>
      <w:r>
        <w:t xml:space="preserve">Traditional library collections often lack representation for immigrant communities. Recommendation: Utilize our AI-powered resource mapping tool (co-designed with Miami librarians) to identify collection gaps by zip code.</w:t>
      </w:r>
    </w:p>
    <w:bookmarkEnd w:id="24"/>
    <w:bookmarkStart w:id="25" w:name="X416cb28282afc65390a2731c096cf96d115de1d"/>
    <w:p>
      <w:pPr>
        <w:pStyle w:val="Heading2"/>
      </w:pPr>
      <w:r>
        <w:t xml:space="preserve">VI. Future Outlook &amp; Partnership Opportunities</w:t>
      </w:r>
    </w:p>
    <w:p>
      <w:pPr>
        <w:pStyle w:val="FirstParagraph"/>
      </w:pPr>
      <w:r>
        <w:t xml:space="preserve">As the United States Miami metropolitan area continues to grow at 1.7% annually, our projections indicate a $35M market opportunity for library technology services by 2025. To maximize impact, we propose:</w:t>
      </w:r>
    </w:p>
    <w:p>
      <w:pPr>
        <w:numPr>
          <w:ilvl w:val="0"/>
          <w:numId w:val="1007"/>
        </w:numPr>
        <w:pStyle w:val="Compact"/>
      </w:pPr>
      <w:r>
        <w:rPr>
          <w:bCs/>
          <w:b/>
        </w:rPr>
        <w:t xml:space="preserve">Joint Innovation Grants:</w:t>
      </w:r>
      <w:r>
        <w:t xml:space="preserve"> </w:t>
      </w:r>
      <w:r>
        <w:t xml:space="preserve">NLSG will fund pilot programs where Miami librarians co-develop solutions (e.g., VR cultural heritage experiences for Cuban-American communities)</w:t>
      </w:r>
    </w:p>
    <w:p>
      <w:pPr>
        <w:numPr>
          <w:ilvl w:val="0"/>
          <w:numId w:val="1007"/>
        </w:numPr>
        <w:pStyle w:val="Compact"/>
      </w:pPr>
      <w:r>
        <w:rPr>
          <w:bCs/>
          <w:b/>
        </w:rPr>
        <w:t xml:space="preserve">Miami Librarian Leadership Program:</w:t>
      </w:r>
      <w:r>
        <w:t xml:space="preserve"> </w:t>
      </w:r>
      <w:r>
        <w:t xml:space="preserve">Annual summit featuring keynote speakers from national library associations, with 10 full scholarships for Miami-based librarians</w:t>
      </w:r>
    </w:p>
    <w:p>
      <w:pPr>
        <w:numPr>
          <w:ilvl w:val="0"/>
          <w:numId w:val="1007"/>
        </w:numPr>
        <w:pStyle w:val="Compact"/>
      </w:pPr>
      <w:r>
        <w:rPr>
          <w:bCs/>
          <w:b/>
        </w:rPr>
        <w:t xml:space="preserve">Real-Time Community Pulse Dashboard:</w:t>
      </w:r>
      <w:r>
        <w:t xml:space="preserve"> </w:t>
      </w:r>
      <w:r>
        <w:t xml:space="preserve">A free tool showing live data on Miami's learning needs (e.g., "Demand for Spanish parenting resources spiked 22% in Overtown")</w:t>
      </w:r>
    </w:p>
    <w:p>
      <w:pPr>
        <w:pStyle w:val="FirstParagraph"/>
      </w:pPr>
      <w:r>
        <w:t xml:space="preserve">The success of these initiatives hinges on the librarian as the primary driver – not just a buyer, but an innovator. Our Sales Report data confirms that libraries with active librarian leadership in procurement see 53% higher patron satisfaction scores than those using standard vendor contracts.</w:t>
      </w:r>
    </w:p>
    <w:bookmarkEnd w:id="25"/>
    <w:bookmarkStart w:id="26" w:name="vii.-conclusion"/>
    <w:p>
      <w:pPr>
        <w:pStyle w:val="Heading2"/>
      </w:pPr>
      <w:r>
        <w:t xml:space="preserve">VII. Conclusion</w:t>
      </w:r>
    </w:p>
    <w:p>
      <w:pPr>
        <w:pStyle w:val="FirstParagraph"/>
      </w:pPr>
      <w:r>
        <w:t xml:space="preserve">This Sales Report demonstrates how strategic partnerships with librarians across the United States Miami have transformed library services from passive resource centers to dynamic community hubs. The data is unequivocal: when librarians lead, libraries thrive. As Miami continues to evolve as a global cultural crossroads, our shared mission – delivering equitable access to information – becomes increasingly vital.</w:t>
      </w:r>
    </w:p>
    <w:p>
      <w:pPr>
        <w:pStyle w:val="BodyText"/>
      </w:pPr>
      <w:r>
        <w:t xml:space="preserve">For the next fiscal year, NLSG commits to allocating 30% of our Miami sales revenue toward librarian-led innovation grants. We invite all librarians in United States Miami to join our Advisory Councils and shape the future of library services. Together, we'll ensure every community member has access to the resources they need – whether they're researching Cuban genealogy at Little Havana Library or learning digital skills at a South Beach branch.</w:t>
      </w:r>
    </w:p>
    <w:p>
      <w:pPr>
        <w:pStyle w:val="BodyText"/>
      </w:pPr>
      <w:r>
        <w:rPr>
          <w:bCs/>
          <w:b/>
        </w:rPr>
        <w:t xml:space="preserve">Appendix:</w:t>
      </w:r>
      <w:r>
        <w:t xml:space="preserve"> </w:t>
      </w:r>
      <w:r>
        <w:t xml:space="preserve">Full Miami-specific sales data available upon request (including branch-by-branch analytics for all 72 public libraries in Miami-Dade County). All metrics validated through the National Library Service Database and U.S. Census Bureau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United States Miami</dc:title>
  <dc:creator/>
  <dc:language>en</dc:language>
  <cp:keywords/>
  <dcterms:created xsi:type="dcterms:W3CDTF">2026-07-23T11:48:29Z</dcterms:created>
  <dcterms:modified xsi:type="dcterms:W3CDTF">2026-07-23T11:48:29Z</dcterms:modified>
</cp:coreProperties>
</file>

<file path=docProps/custom.xml><?xml version="1.0" encoding="utf-8"?>
<Properties xmlns="http://schemas.openxmlformats.org/officeDocument/2006/custom-properties" xmlns:vt="http://schemas.openxmlformats.org/officeDocument/2006/docPropsVTypes"/>
</file>