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Tashkent</w:t>
      </w:r>
      <w:r>
        <w:t xml:space="preserve"> </w:t>
      </w:r>
      <w:r>
        <w:t xml:space="preserve">Public</w:t>
      </w:r>
      <w:r>
        <w:t xml:space="preserve"> </w:t>
      </w:r>
      <w:r>
        <w:t xml:space="preserve">Library,</w:t>
      </w:r>
      <w:r>
        <w:t xml:space="preserve"> </w:t>
      </w:r>
      <w:r>
        <w:t xml:space="preserve">Uzbekistan</w:t>
      </w:r>
    </w:p>
    <w:bookmarkStart w:id="20" w:name="Xcdc8da0825f9c4d1dee4943e4ae1f2ba9eb3d3a"/>
    <w:p>
      <w:pPr>
        <w:pStyle w:val="Heading1"/>
      </w:pPr>
      <w:r>
        <w:t xml:space="preserve">QUARTERLY SALES REPORT</w:t>
      </w:r>
      <w:r>
        <w:br/>
      </w:r>
      <w:r>
        <w:t xml:space="preserve">FOR TASHKENT PUBLIC LIBRARY, UZBEKISTAN</w:t>
      </w:r>
    </w:p>
    <w:p>
      <w:pPr>
        <w:pStyle w:val="FirstParagraph"/>
      </w:pPr>
      <w:r>
        <w:t xml:space="preserve">Period: January 1, 2024 - March 31, 2024 | Prepared for Uzbekistan Ministry of Culture</w:t>
      </w:r>
    </w:p>
    <w:bookmarkEnd w:id="20"/>
    <w:p>
      <w:pPr>
        <w:pStyle w:val="BodyText"/>
      </w:pPr>
      <w:r>
        <w:t xml:space="preserve">This Sales Report details the revenue-generating activities and service performance of Tashkent Public Library during Q1 2024, demonstrating how our Librarian team effectively supports both cultural preservation and community engagement in Uzbekistan's capital city. The report confirms that strategic library operations directly contribute to Uzbekistan's national goals for educational advancement through innovative services tailored for Tashkent residents.</w:t>
      </w:r>
    </w:p>
    <w:bookmarkStart w:id="21" w:name="executive-summary"/>
    <w:p>
      <w:pPr>
        <w:pStyle w:val="Heading2"/>
      </w:pPr>
      <w:r>
        <w:t xml:space="preserve">1. Executive Summary</w:t>
      </w:r>
    </w:p>
    <w:p>
      <w:pPr>
        <w:pStyle w:val="FirstParagraph"/>
      </w:pPr>
      <w:r>
        <w:t xml:space="preserve">The Tashkent Public Library has achieved remarkable success in transforming traditional library functions into sustainable revenue streams while fulfilling its core mission as a cultural institution in Uzbekistan. Our Librarian team implemented targeted initiatives that generated 18% year-over-year growth in service-related revenue during Q1 2024. This Sales Report confirms that the Library's strategic shift toward value-added services—particularly through enhanced e-resource access and localized publishing—has positioned it as a model for public libraries across Uzbekistan Tashkent.</w:t>
      </w:r>
    </w:p>
    <w:p>
      <w:pPr>
        <w:pStyle w:val="BodyText"/>
      </w:pPr>
      <w:r>
        <w:t xml:space="preserve">Key achievements include a 35% increase in digital subscription sales, successful book exhibitions attracting 4,200 visitors (a 22% rise from Q4 2023), and the launch of the "Tashkent Heritage Series" publications. These results validate our approach that a modern Librarian must balance preservation with entrepreneurial vision to serve Uzbekistan's evolving educational needs.</w:t>
      </w:r>
    </w:p>
    <w:bookmarkEnd w:id="21"/>
    <w:bookmarkStart w:id="22" w:name="sales-performance-analysis"/>
    <w:p>
      <w:pPr>
        <w:pStyle w:val="Heading2"/>
      </w:pPr>
      <w:r>
        <w:t xml:space="preserve">2. Sales Performance Analysis</w:t>
      </w:r>
    </w:p>
    <w:p>
      <w:pPr>
        <w:pStyle w:val="FirstParagraph"/>
      </w:pPr>
      <w:r>
        <w:t xml:space="preserve">This Sales Report categorizes revenue streams into three primary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Q1 2024 (UZS)</w:t>
            </w:r>
          </w:p>
        </w:tc>
        <w:tc>
          <w:tcPr/>
          <w:p>
            <w:pPr>
              <w:pStyle w:val="Compact"/>
              <w:jc w:val="left"/>
            </w:pPr>
            <w:r>
              <w:t xml:space="preserve">Q1 2023 (UZS)</w:t>
            </w:r>
          </w:p>
        </w:tc>
        <w:tc>
          <w:tcPr/>
          <w:p>
            <w:pPr>
              <w:pStyle w:val="Compact"/>
              <w:jc w:val="left"/>
            </w:pPr>
            <w:r>
              <w:t xml:space="preserve">Growth (%)</w:t>
            </w:r>
          </w:p>
        </w:tc>
      </w:tr>
      <w:tr>
        <w:tc>
          <w:tcPr/>
          <w:p>
            <w:pPr>
              <w:pStyle w:val="Compact"/>
              <w:jc w:val="left"/>
            </w:pPr>
            <w:r>
              <w:t xml:space="preserve">Digital Resource Subscriptions</w:t>
            </w:r>
          </w:p>
        </w:tc>
        <w:tc>
          <w:tcPr/>
          <w:p>
            <w:pPr>
              <w:pStyle w:val="Compact"/>
              <w:jc w:val="left"/>
            </w:pPr>
            <w:r>
              <w:t xml:space="preserve">1,450,000,000</w:t>
            </w:r>
          </w:p>
        </w:tc>
        <w:tc>
          <w:tcPr/>
          <w:p>
            <w:pPr>
              <w:pStyle w:val="Compact"/>
              <w:jc w:val="left"/>
            </w:pPr>
            <w:r>
              <w:t xml:space="preserve">1,258,759,321</w:t>
            </w:r>
          </w:p>
        </w:tc>
        <w:tc>
          <w:tcPr/>
          <w:p>
            <w:pPr>
              <w:pStyle w:val="Compact"/>
              <w:jc w:val="left"/>
            </w:pPr>
            <w:r>
              <w:t xml:space="preserve">+35.6%</w:t>
            </w:r>
          </w:p>
        </w:tc>
      </w:tr>
      <w:tr>
        <w:tc>
          <w:tcPr/>
          <w:p>
            <w:pPr>
              <w:pStyle w:val="Compact"/>
              <w:jc w:val="left"/>
            </w:pPr>
            <w:r>
              <w:t xml:space="preserve">Limited-Edition Publications</w:t>
            </w:r>
          </w:p>
        </w:tc>
        <w:tc>
          <w:tcPr/>
          <w:p>
            <w:pPr>
              <w:pStyle w:val="Compact"/>
              <w:jc w:val="left"/>
            </w:pPr>
            <w:r>
              <w:t xml:space="preserve">784,200,000</w:t>
            </w:r>
          </w:p>
        </w:tc>
        <w:tc>
          <w:tcPr/>
          <w:p>
            <w:pPr>
              <w:pStyle w:val="Compact"/>
              <w:jc w:val="left"/>
            </w:pPr>
            <w:r>
              <w:t xml:space="preserve">641,923,457</w:t>
            </w:r>
          </w:p>
        </w:tc>
        <w:tc>
          <w:tcPr/>
          <w:p>
            <w:pPr>
              <w:pStyle w:val="Compact"/>
              <w:jc w:val="left"/>
            </w:pPr>
            <w:r>
              <w:t xml:space="preserve">+22.1%</w:t>
            </w:r>
          </w:p>
        </w:tc>
      </w:tr>
      <w:tr>
        <w:tc>
          <w:tcPr/>
          <w:p>
            <w:pPr>
              <w:pStyle w:val="Compact"/>
              <w:jc w:val="left"/>
            </w:pPr>
            <w:r>
              <w:t xml:space="preserve">Event &amp; Workshop Fees</w:t>
            </w:r>
          </w:p>
        </w:tc>
        <w:tc>
          <w:tcPr/>
          <w:p>
            <w:pPr>
              <w:pStyle w:val="Compact"/>
              <w:jc w:val="left"/>
            </w:pPr>
            <w:r>
              <w:t xml:space="preserve">398,500,000</w:t>
            </w:r>
          </w:p>
        </w:tc>
        <w:tc>
          <w:tcPr/>
          <w:p>
            <w:pPr>
              <w:pStyle w:val="Compact"/>
              <w:jc w:val="left"/>
            </w:pPr>
            <w:r>
              <w:t xml:space="preserve">318,762,541</w:t>
            </w:r>
          </w:p>
        </w:tc>
        <w:tc>
          <w:tcPr/>
          <w:p>
            <w:pPr>
              <w:pStyle w:val="Compact"/>
              <w:jc w:val="left"/>
            </w:pPr>
            <w:r>
              <w:t xml:space="preserve">+25.0%</w:t>
            </w:r>
          </w:p>
        </w:tc>
      </w:tr>
      <w:tr>
        <w:tc>
          <w:tcPr/>
          <w:p>
            <w:pPr>
              <w:pStyle w:val="Compact"/>
              <w:jc w:val="left"/>
            </w:pPr>
            <w:r>
              <w:rPr>
                <w:bCs/>
                <w:b/>
              </w:rPr>
              <w:t xml:space="preserve">TOTAL REVENUE</w:t>
            </w:r>
          </w:p>
        </w:tc>
        <w:tc>
          <w:tcPr/>
          <w:p>
            <w:pPr>
              <w:pStyle w:val="Compact"/>
              <w:jc w:val="left"/>
            </w:pPr>
            <w:r>
              <w:rPr>
                <w:bCs/>
                <w:b/>
              </w:rPr>
              <w:t xml:space="preserve">2,632,700,000</w:t>
            </w:r>
          </w:p>
        </w:tc>
        <w:tc>
          <w:tcPr/>
          <w:p>
            <w:pPr>
              <w:pStyle w:val="Compact"/>
              <w:jc w:val="left"/>
            </w:pPr>
            <w:r>
              <w:rPr>
                <w:bCs/>
                <w:b/>
              </w:rPr>
              <w:t xml:space="preserve">2,219,445,319</w:t>
            </w:r>
          </w:p>
        </w:tc>
        <w:tc>
          <w:tcPr/>
          <w:p>
            <w:pPr>
              <w:pStyle w:val="Compact"/>
              <w:jc w:val="left"/>
            </w:pPr>
            <w:r>
              <w:rPr>
                <w:bCs/>
                <w:b/>
              </w:rPr>
              <w:t xml:space="preserve">+18.6%</w:t>
            </w:r>
          </w:p>
        </w:tc>
      </w:tr>
    </w:tbl>
    <w:p>
      <w:pPr>
        <w:pStyle w:val="BodyText"/>
      </w:pPr>
      <w:r>
        <w:t xml:space="preserve">Our Librarian staff drove these results through the "Tashkent Community Learning Initiative," which includes:</w:t>
      </w:r>
    </w:p>
    <w:p>
      <w:pPr>
        <w:numPr>
          <w:ilvl w:val="0"/>
          <w:numId w:val="1001"/>
        </w:numPr>
        <w:pStyle w:val="Compact"/>
      </w:pPr>
      <w:r>
        <w:rPr>
          <w:bCs/>
          <w:b/>
        </w:rPr>
        <w:t xml:space="preserve">Localized Digital Catalogs:</w:t>
      </w:r>
      <w:r>
        <w:t xml:space="preserve"> </w:t>
      </w:r>
      <w:r>
        <w:t xml:space="preserve">Collaborated with Uzbekistan's Ministry of Education to digitize regional literary heritage, creating high-demand e-resources sold at competitive rates</w:t>
      </w:r>
    </w:p>
    <w:p>
      <w:pPr>
        <w:numPr>
          <w:ilvl w:val="0"/>
          <w:numId w:val="1001"/>
        </w:numPr>
        <w:pStyle w:val="Compact"/>
      </w:pPr>
      <w:r>
        <w:rPr>
          <w:bCs/>
          <w:b/>
        </w:rPr>
        <w:t xml:space="preserve">Cultural Publishing Partnerships:</w:t>
      </w:r>
      <w:r>
        <w:t xml:space="preserve"> </w:t>
      </w:r>
      <w:r>
        <w:t xml:space="preserve">The Librarian-led publishing team released the "Tashkent Memory Book" series (20,000 copies sold), celebrating Uzbekistan's 31st anniversary of independence</w:t>
      </w:r>
    </w:p>
    <w:p>
      <w:pPr>
        <w:numPr>
          <w:ilvl w:val="0"/>
          <w:numId w:val="1001"/>
        </w:numPr>
        <w:pStyle w:val="Compact"/>
      </w:pPr>
      <w:r>
        <w:rPr>
          <w:bCs/>
          <w:b/>
        </w:rPr>
        <w:t xml:space="preserve">Corporate Training Programs:</w:t>
      </w:r>
      <w:r>
        <w:t xml:space="preserve"> </w:t>
      </w:r>
      <w:r>
        <w:t xml:space="preserve">Partnered with Tashkent businesses for professional development workshops (42% of revenue from corporate clients)</w:t>
      </w:r>
    </w:p>
    <w:bookmarkEnd w:id="22"/>
    <w:bookmarkStart w:id="26" w:name="X22a46d1a3ea0f34cbac03a3c590a4f12515cc6d"/>
    <w:p>
      <w:pPr>
        <w:pStyle w:val="Heading2"/>
      </w:pPr>
      <w:r>
        <w:t xml:space="preserve">3. Strategic Initiatives Driving Success in Uzbekistan Tashkent</w:t>
      </w:r>
    </w:p>
    <w:p>
      <w:pPr>
        <w:pStyle w:val="FirstParagraph"/>
      </w:pPr>
      <w:r>
        <w:t xml:space="preserve">This Sales Report highlights how the Librarian team innovated within Uzbekistan's cultural framework:</w:t>
      </w:r>
    </w:p>
    <w:bookmarkStart w:id="23" w:name="Xce3bf39ceed49daef4d2ab1f3816714dbc6fce6"/>
    <w:p>
      <w:pPr>
        <w:pStyle w:val="Heading3"/>
      </w:pPr>
      <w:r>
        <w:t xml:space="preserve">A. Cultural Preservation with Revenue Model</w:t>
      </w:r>
    </w:p>
    <w:p>
      <w:pPr>
        <w:pStyle w:val="FirstParagraph"/>
      </w:pPr>
      <w:r>
        <w:t xml:space="preserve">The Librarian developed the "Uzbek Literary Heritage" subscription package, featuring rare 19th-century manuscripts digitized in partnership with Tashkent State University. This initiative generated 48% of total digital sales by aligning with Uzbekistan's national priority to preserve cultural identity while creating sustainable income. As stated by Head Librarian Alisher Yusupov: "In Uzbekistan, our Librarian role isn't just about books—it's about safeguarding our nation's intellectual heritage through responsible commercialization."</w:t>
      </w:r>
    </w:p>
    <w:bookmarkEnd w:id="23"/>
    <w:bookmarkStart w:id="24" w:name="b.-community-engagement-in-tashkent"/>
    <w:p>
      <w:pPr>
        <w:pStyle w:val="Heading3"/>
      </w:pPr>
      <w:r>
        <w:t xml:space="preserve">B. Community Engagement in Tashkent</w:t>
      </w:r>
    </w:p>
    <w:p>
      <w:pPr>
        <w:pStyle w:val="FirstParagraph"/>
      </w:pPr>
      <w:r>
        <w:t xml:space="preserve">Through targeted outreach across Tashkent districts, the Librarian team identified underserved communities and created mobile literacy stations at public transport hubs. The "Library on Wheels" program (operating 15 buses daily) directly contributed to a 27% increase in new digital subscriptions from Tashkent's rural-adjacent neighborhoods. This initiative demonstrates how a modern Librarian builds revenue through community trust—proving that service quality and sales success are intrinsically linked in Uzbekistan's context.</w:t>
      </w:r>
    </w:p>
    <w:bookmarkEnd w:id="24"/>
    <w:bookmarkStart w:id="25" w:name="c.-digital-transformation-alignment"/>
    <w:p>
      <w:pPr>
        <w:pStyle w:val="Heading3"/>
      </w:pPr>
      <w:r>
        <w:t xml:space="preserve">C. Digital Transformation Alignment</w:t>
      </w:r>
    </w:p>
    <w:p>
      <w:pPr>
        <w:pStyle w:val="FirstParagraph"/>
      </w:pPr>
      <w:r>
        <w:t xml:space="preserve">With Uzbekistan's national "Digital Uzbekistan 2030" strategy, the Tashkent Library became a flagship implementation site. The Librarian team migrated all catalog services to the newly launched "Oʻzbek Kitob" platform (Uzbek for "Uzbek Book"), which now processes 87% of transactions. This strategic alignment with national priorities has attracted government grants covering 60% of operational costs, allowing revenue focus on high-margin cultural products rather than basic operations.</w:t>
      </w:r>
    </w:p>
    <w:bookmarkEnd w:id="25"/>
    <w:bookmarkEnd w:id="26"/>
    <w:bookmarkStart w:id="27" w:name="challenges-and-future-strategy"/>
    <w:p>
      <w:pPr>
        <w:pStyle w:val="Heading2"/>
      </w:pPr>
      <w:r>
        <w:t xml:space="preserve">4. Challenges and Future Strategy</w:t>
      </w:r>
    </w:p>
    <w:p>
      <w:pPr>
        <w:pStyle w:val="FirstParagraph"/>
      </w:pPr>
      <w:r>
        <w:t xml:space="preserve">This Sales Report acknowledges challenges unique to Uzbekistan Tashkent:</w:t>
      </w:r>
    </w:p>
    <w:p>
      <w:pPr>
        <w:numPr>
          <w:ilvl w:val="0"/>
          <w:numId w:val="1002"/>
        </w:numPr>
        <w:pStyle w:val="Compact"/>
      </w:pPr>
      <w:r>
        <w:rPr>
          <w:bCs/>
          <w:b/>
        </w:rPr>
        <w:t xml:space="preserve">Currency Volatility:</w:t>
      </w:r>
      <w:r>
        <w:t xml:space="preserve"> </w:t>
      </w:r>
      <w:r>
        <w:t xml:space="preserve">Fluctuations impacted foreign e-resource costs (managed through local publishing partnerships)</w:t>
      </w:r>
    </w:p>
    <w:p>
      <w:pPr>
        <w:numPr>
          <w:ilvl w:val="0"/>
          <w:numId w:val="1002"/>
        </w:numPr>
        <w:pStyle w:val="Compact"/>
      </w:pPr>
      <w:r>
        <w:rPr>
          <w:bCs/>
          <w:b/>
        </w:rPr>
        <w:t xml:space="preserve">Infrastructure Limitations:</w:t>
      </w:r>
      <w:r>
        <w:t xml:space="preserve"> </w:t>
      </w:r>
      <w:r>
        <w:t xml:space="preserve">Limited high-speed internet in peripheral Tashkent areas required mobile service expansion</w:t>
      </w:r>
    </w:p>
    <w:p>
      <w:pPr>
        <w:numPr>
          <w:ilvl w:val="0"/>
          <w:numId w:val="1002"/>
        </w:numPr>
        <w:pStyle w:val="Compact"/>
      </w:pPr>
      <w:r>
        <w:rPr>
          <w:bCs/>
          <w:b/>
        </w:rPr>
        <w:t xml:space="preserve">Cultural Sensitivity:</w:t>
      </w:r>
      <w:r>
        <w:t xml:space="preserve"> </w:t>
      </w:r>
      <w:r>
        <w:t xml:space="preserve">Balancing commercialization with Uzbekistan's conservative values required Librarian-led ethics training</w:t>
      </w:r>
    </w:p>
    <w:p>
      <w:pPr>
        <w:pStyle w:val="FirstParagraph"/>
      </w:pPr>
      <w:r>
        <w:t xml:space="preserve">The 2024 Q2 strategy focuses on scaling successes: Launching "Tashkent Cultural Ambassador" programs where the Librarian trains community leaders to promote library services, and expanding the "Heritage Series" to cover all 12 Uzbek regions. As emphasized in our annual planning document, "The Librarian in Uzbekistan Tashkent must be both a cultural guardian and a business innovator."</w:t>
      </w:r>
    </w:p>
    <w:bookmarkEnd w:id="27"/>
    <w:bookmarkStart w:id="28" w:name="X0aef624b94b070266f1b9408b1ff719316f1fb6"/>
    <w:p>
      <w:pPr>
        <w:pStyle w:val="Heading2"/>
      </w:pPr>
      <w:r>
        <w:t xml:space="preserve">5. Conclusion: The Librarian as National Catalyst</w:t>
      </w:r>
    </w:p>
    <w:p>
      <w:pPr>
        <w:pStyle w:val="FirstParagraph"/>
      </w:pPr>
      <w:r>
        <w:t xml:space="preserve">This Sales Report unequivocally demonstrates that the modern Librarian in Uzbekistan Tashkent is pivotal to national development. By transforming library services into sustainable revenue streams while preserving cultural heritage, our team has become an economic catalyst for Tashkent and a model for Uzbekistan's public sector. The 18.6% revenue growth isn't just financial—it represents deeper community engagement, increased educational access, and alignment with Uzbekistan's vision of becoming a knowledge-based society by 2030.</w:t>
      </w:r>
    </w:p>
    <w:p>
      <w:pPr>
        <w:pStyle w:val="BodyText"/>
      </w:pPr>
      <w:r>
        <w:t xml:space="preserve">As we move forward, the Librarian will continue to embody the dual mission: protecting Uzbekistan's literary legacy while pioneering revenue models that fund future growth. This Sales Report confirms that when the Librarian leads with both cultural integrity and commercial acumen, institutions in Uzbekistan Tashkent don't just survive—they transform communities.</w:t>
      </w:r>
    </w:p>
    <w:p>
      <w:pPr>
        <w:pStyle w:val="BodyText"/>
      </w:pPr>
      <w:r>
        <w:rPr>
          <w:bCs/>
          <w:b/>
        </w:rPr>
        <w:t xml:space="preserve">Prepared by:</w:t>
      </w:r>
      <w:r>
        <w:t xml:space="preserve"> </w:t>
      </w:r>
      <w:r>
        <w:t xml:space="preserve">Tashkent Public Library Management Team</w:t>
      </w:r>
    </w:p>
    <w:p>
      <w:pPr>
        <w:pStyle w:val="BodyText"/>
      </w:pPr>
      <w:r>
        <w:rPr>
          <w:bCs/>
          <w:b/>
        </w:rPr>
        <w:t xml:space="preserve">Date:</w:t>
      </w:r>
      <w:r>
        <w:t xml:space="preserve"> </w:t>
      </w:r>
      <w:r>
        <w:t xml:space="preserve">April 15, 2024 |</w:t>
      </w:r>
      <w:r>
        <w:t xml:space="preserve"> </w:t>
      </w:r>
      <w:r>
        <w:rPr>
          <w:bCs/>
          <w:b/>
        </w:rPr>
        <w:t xml:space="preserve">Distribution:</w:t>
      </w:r>
      <w:r>
        <w:t xml:space="preserve"> </w:t>
      </w:r>
      <w:r>
        <w:t xml:space="preserve">Uzbekistan Ministry of Culture, Tashkent City Administration</w:t>
      </w:r>
    </w:p>
    <w:p>
      <w:pPr>
        <w:pStyle w:val="BodyText"/>
      </w:pPr>
      <w:r>
        <w:t xml:space="preserve">"In the heart of Uzbekistan Tashkent, the Librarian is not merely a keeper of books but a builder of knowledge economies."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Tashkent Public Library, Uzbekistan</dc:title>
  <dc:creator/>
  <dc:language>en</dc:language>
  <cp:keywords/>
  <dcterms:created xsi:type="dcterms:W3CDTF">2025-12-11T18:21:57Z</dcterms:created>
  <dcterms:modified xsi:type="dcterms:W3CDTF">2025-12-11T18:21:57Z</dcterms:modified>
</cp:coreProperties>
</file>

<file path=docProps/custom.xml><?xml version="1.0" encoding="utf-8"?>
<Properties xmlns="http://schemas.openxmlformats.org/officeDocument/2006/custom-properties" xmlns:vt="http://schemas.openxmlformats.org/officeDocument/2006/docPropsVTypes"/>
</file>