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Germany</w:t>
      </w:r>
      <w:r>
        <w:t xml:space="preserve"> </w:t>
      </w:r>
      <w:r>
        <w:t xml:space="preserve">Frankfurt</w:t>
      </w:r>
      <w:r>
        <w:t xml:space="preserve"> </w:t>
      </w:r>
      <w:r>
        <w:t xml:space="preserve">Market</w:t>
      </w:r>
    </w:p>
    <w:bookmarkStart w:id="28" w:name="X50ab6afd6782457714505255321c5106d5c444c"/>
    <w:p>
      <w:pPr>
        <w:pStyle w:val="Heading1"/>
      </w:pPr>
      <w:r>
        <w:t xml:space="preserve">Annual Sales Report: Strategic Expansion of Marine Engineering Solutions in Germany Frankfurt (2023)</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initiatives surrounding our Marine Engineering service division within the critical Germany Frankfurt business ecosystem. As Europe's premier financial and logistics hub, Frankfurt serves as the operational nerve center for 68% of Germany's maritime supply chain management firms (German Maritime Institute, 2023). Our focus on delivering specialized Marine Engineer expertise has driven a 32% year-over-year growth in client acquisition within this high-value market segment.</w:t>
      </w:r>
    </w:p>
    <w:bookmarkEnd w:id="20"/>
    <w:bookmarkStart w:id="21" w:name="market-context-why-germany-frankfurt"/>
    <w:p>
      <w:pPr>
        <w:pStyle w:val="Heading2"/>
      </w:pPr>
      <w:r>
        <w:t xml:space="preserve">Market Context: Why Germany Frankfurt?</w:t>
      </w:r>
    </w:p>
    <w:p>
      <w:pPr>
        <w:pStyle w:val="FirstParagraph"/>
      </w:pPr>
      <w:r>
        <w:t xml:space="preserve">Frankfurt's strategic position as Germany's commercial capital and Europe's largest financial center directly impacts maritime operations. While not a coastal port city, Frankfurt hosts the headquarters of major shipping logistics providers (including Hapag-Lloyd Logistics, Maersk Deutschland, and Deutsche Schiffahrts GmbH) responsible for 45% of global container volume management through European gateways like Hamburg and Rotterdam. This creates an unprecedented demand for onshore Marine Engineer services to optimize vessel operations, regulatory compliance (IMO 2023 standards), and sustainable shipping transitions. Our Frankfurt-based team serves as the critical technical interface between these corporate headquarters and maritime execution teams across Germany's ports.</w:t>
      </w:r>
    </w:p>
    <w:bookmarkEnd w:id="21"/>
    <w:bookmarkStart w:id="22" w:name="core-service-offerings-sales-performance"/>
    <w:p>
      <w:pPr>
        <w:pStyle w:val="Heading2"/>
      </w:pPr>
      <w:r>
        <w:t xml:space="preserve">Core Service Offerings &amp; Sales Performance</w:t>
      </w:r>
    </w:p>
    <w:p>
      <w:pPr>
        <w:pStyle w:val="FirstParagraph"/>
      </w:pPr>
      <w:r>
        <w:t xml:space="preserve">We have structured our Marine Engineering solutions to address three primary pain points identified in the Frankfurt market:</w:t>
      </w:r>
    </w:p>
    <w:p>
      <w:pPr>
        <w:numPr>
          <w:ilvl w:val="0"/>
          <w:numId w:val="1001"/>
        </w:numPr>
        <w:pStyle w:val="Compact"/>
      </w:pPr>
      <w:r>
        <w:rPr>
          <w:bCs/>
          <w:b/>
        </w:rPr>
        <w:t xml:space="preserve">Vessel Technical Compliance Management:</w:t>
      </w:r>
      <w:r>
        <w:t xml:space="preserve"> </w:t>
      </w:r>
      <w:r>
        <w:t xml:space="preserve">18% growth (€2.4M revenue) through proactive monitoring of EU MRV and C-QUADRAT regulations for client fleets.</w:t>
      </w:r>
    </w:p>
    <w:p>
      <w:pPr>
        <w:numPr>
          <w:ilvl w:val="0"/>
          <w:numId w:val="1001"/>
        </w:numPr>
        <w:pStyle w:val="Compact"/>
      </w:pPr>
      <w:r>
        <w:rPr>
          <w:bCs/>
          <w:b/>
        </w:rPr>
        <w:t xml:space="preserve">Sustainable Propulsion System Optimization:</w:t>
      </w:r>
      <w:r>
        <w:t xml:space="preserve"> </w:t>
      </w:r>
      <w:r>
        <w:t xml:space="preserve">47% growth (€1.8M revenue) driven by Germany's National Hydrogen Strategy and demand for LNG/eco-friendly retrofitting support.</w:t>
      </w:r>
    </w:p>
    <w:p>
      <w:pPr>
        <w:numPr>
          <w:ilvl w:val="0"/>
          <w:numId w:val="1001"/>
        </w:numPr>
        <w:pStyle w:val="Compact"/>
      </w:pPr>
      <w:r>
        <w:rPr>
          <w:bCs/>
          <w:b/>
        </w:rPr>
        <w:t xml:space="preserve">Marine Engineering Talent Acquisition &amp; Training:</w:t>
      </w:r>
      <w:r>
        <w:t xml:space="preserve"> </w:t>
      </w:r>
      <w:r>
        <w:t xml:space="preserve">29% growth (€1.1M revenue) solving Frankfurt-based companies' acute shortage of certified Marine Engineers (only 4,300 certified in all Germany as of Q4 2023).</w:t>
      </w:r>
    </w:p>
    <w:p>
      <w:pPr>
        <w:pStyle w:val="FirstParagraph"/>
      </w:pPr>
      <w:r>
        <w:rPr>
          <w:bCs/>
          <w:b/>
        </w:rPr>
        <w:t xml:space="preserve">Key Sales Achievement:</w:t>
      </w:r>
      <w:r>
        <w:t xml:space="preserve"> </w:t>
      </w:r>
      <w:r>
        <w:t xml:space="preserve">Secured a landmark three-year contract with Deutsche Schiffahrts GmbH (Frankfurt HQ) covering technical oversight for their entire 58-vessel fleet. This €7.6M deal, signed in Q2 2023, represents our largest single Marine Engineer service contract to date and validates our Frankfurt market strategy.</w:t>
      </w:r>
    </w:p>
    <w:bookmarkEnd w:id="22"/>
    <w:bookmarkStart w:id="23" w:name="Xcf4612ccd0129d769b09d5ee0a030c861578e97"/>
    <w:p>
      <w:pPr>
        <w:pStyle w:val="Heading2"/>
      </w:pPr>
      <w:r>
        <w:t xml:space="preserve">Client Demographics &amp; Frankfurt Market Penetration</w:t>
      </w:r>
    </w:p>
    <w:p>
      <w:pPr>
        <w:pStyle w:val="FirstParagraph"/>
      </w:pPr>
      <w:r>
        <w:t xml:space="preserve">Our client portfolio in the Germany Frankfurt area reflects strategic diversification across key sectors:</w:t>
      </w:r>
    </w:p>
    <w:p>
      <w:pPr>
        <w:pStyle w:val="BodyText"/>
      </w:pPr>
      <w:r>
        <w:t xml:space="preserve">Client Segment</w:t>
      </w:r>
    </w:p>
    <w:p>
      <w:pPr>
        <w:pStyle w:val="BodyText"/>
      </w:pPr>
      <w:r>
        <w:t xml:space="preserve">Market Share (Frankfurt)</w:t>
      </w:r>
    </w:p>
    <w:p>
      <w:pPr>
        <w:pStyle w:val="BodyText"/>
      </w:pPr>
      <w:r>
        <w:t xml:space="preserve">Primary Marine Engineer Service Sourced</w:t>
      </w:r>
    </w:p>
    <w:p>
      <w:pPr>
        <w:pStyle w:val="BodyText"/>
      </w:pPr>
      <w:r>
        <w:t xml:space="preserve">Multinational Shipping Logistics HQs</w:t>
      </w:r>
    </w:p>
    <w:p>
      <w:pPr>
        <w:pStyle w:val="BodyText"/>
      </w:pPr>
      <w:r>
        <w:t xml:space="preserve">52%</w:t>
      </w:r>
    </w:p>
    <w:p>
      <w:pPr>
        <w:pStyle w:val="BodyText"/>
      </w:pPr>
      <w:r>
        <w:t xml:space="preserve">Vessel Compliance &amp; Fleet Optimization</w:t>
      </w:r>
    </w:p>
    <w:p>
      <w:pPr>
        <w:pStyle w:val="BodyText"/>
      </w:pPr>
      <w:r>
        <w:t xml:space="preserve">Renewable Energy Offshore Developers</w:t>
      </w:r>
    </w:p>
    <w:p>
      <w:pPr>
        <w:pStyle w:val="BodyText"/>
      </w:pPr>
      <w:r>
        <w:t xml:space="preserve">27%</w:t>
      </w:r>
    </w:p>
    <w:p>
      <w:pPr>
        <w:pStyle w:val="BodyText"/>
      </w:pPr>
      <w:r>
        <w:t xml:space="preserve">Turbine Installation &amp; Mooring System Engineering</w:t>
      </w:r>
    </w:p>
    <w:p>
      <w:pPr>
        <w:pStyle w:val="BodyText"/>
      </w:pPr>
      <w:r>
        <w:t xml:space="preserve">Fuel Technology Suppliers (LNG/Hydrogen)</w:t>
      </w:r>
    </w:p>
    <w:p>
      <w:pPr>
        <w:pStyle w:val="BodyText"/>
      </w:pPr>
      <w:r>
        <w:t xml:space="preserve">15%</w:t>
      </w:r>
    </w:p>
    <w:p>
      <w:pPr>
        <w:pStyle w:val="BodyText"/>
      </w:pPr>
      <w:r>
        <w:t xml:space="preserve">Propulsion System Integration</w:t>
      </w:r>
    </w:p>
    <w:p>
      <w:pPr>
        <w:pStyle w:val="BodyText"/>
      </w:pPr>
      <w:r>
        <w:t xml:space="preserve">Governmental Maritime Agencies (e.g., BSH)</w:t>
      </w:r>
    </w:p>
    <w:p>
      <w:pPr>
        <w:pStyle w:val="BodyText"/>
      </w:pPr>
      <w:r>
        <w:t xml:space="preserve">6%</w:t>
      </w:r>
    </w:p>
    <w:p>
      <w:pPr>
        <w:pStyle w:val="BodyText"/>
      </w:pPr>
      <w:r>
        <w:t xml:space="preserve">This distribution confirms Frankfurt's role as the central hub for European maritime decision-making, with 78% of our Marine Engineer service sales originating from companies headquartered within a 50km radius of Frankfurt Main Station.</w:t>
      </w:r>
    </w:p>
    <w:bookmarkEnd w:id="23"/>
    <w:bookmarkStart w:id="24" w:name="competitive-landscape-differentiation"/>
    <w:p>
      <w:pPr>
        <w:pStyle w:val="Heading2"/>
      </w:pPr>
      <w:r>
        <w:t xml:space="preserve">Competitive Landscape &amp; Differentiation</w:t>
      </w:r>
    </w:p>
    <w:p>
      <w:pPr>
        <w:pStyle w:val="FirstParagraph"/>
      </w:pPr>
      <w:r>
        <w:t xml:space="preserve">The Germany Frankfurt market features intense competition among international engineering firms. Our differentiation strategy centers on:</w:t>
      </w:r>
    </w:p>
    <w:p>
      <w:pPr>
        <w:numPr>
          <w:ilvl w:val="0"/>
          <w:numId w:val="1002"/>
        </w:numPr>
        <w:pStyle w:val="Compact"/>
      </w:pPr>
      <w:r>
        <w:rPr>
          <w:bCs/>
          <w:b/>
        </w:rPr>
        <w:t xml:space="preserve">Local Regulatory Expertise:</w:t>
      </w:r>
      <w:r>
        <w:t xml:space="preserve"> </w:t>
      </w:r>
      <w:r>
        <w:t xml:space="preserve">Deep understanding of German "See- und Hafenordnung" and EU maritime legislation, critical for avoiding costly port delays (23% of client complaints in 2022 related to compliance errors).</w:t>
      </w:r>
    </w:p>
    <w:p>
      <w:pPr>
        <w:numPr>
          <w:ilvl w:val="0"/>
          <w:numId w:val="1002"/>
        </w:numPr>
        <w:pStyle w:val="Compact"/>
      </w:pPr>
      <w:r>
        <w:rPr>
          <w:bCs/>
          <w:b/>
        </w:rPr>
        <w:t xml:space="preserve">Frankfurt-Centric Delivery Model:</w:t>
      </w:r>
      <w:r>
        <w:t xml:space="preserve"> </w:t>
      </w:r>
      <w:r>
        <w:t xml:space="preserve">On-site Marine Engineer teams based at our Frankfurt Innovation Hub (operational since 2021) enable real-time collaboration with corporate clients' HQ staff.</w:t>
      </w:r>
    </w:p>
    <w:p>
      <w:pPr>
        <w:numPr>
          <w:ilvl w:val="0"/>
          <w:numId w:val="1002"/>
        </w:numPr>
        <w:pStyle w:val="Compact"/>
      </w:pPr>
      <w:r>
        <w:rPr>
          <w:bCs/>
          <w:b/>
        </w:rPr>
        <w:t xml:space="preserve">Sustainability Integration:</w:t>
      </w:r>
      <w:r>
        <w:t xml:space="preserve"> </w:t>
      </w:r>
      <w:r>
        <w:t xml:space="preserve">Our "Marine Engineer Green Certification" program directly supports Germany's 2045 carbon neutrality targets, a top priority for Frankfurt-based shipping executives.</w:t>
      </w:r>
    </w:p>
    <w:bookmarkEnd w:id="24"/>
    <w:bookmarkStart w:id="25" w:name="challenges-strategic-response"/>
    <w:p>
      <w:pPr>
        <w:pStyle w:val="Heading2"/>
      </w:pPr>
      <w:r>
        <w:t xml:space="preserve">Challenges &amp; Strategic Response</w:t>
      </w:r>
    </w:p>
    <w:p>
      <w:pPr>
        <w:pStyle w:val="FirstParagraph"/>
      </w:pPr>
      <w:r>
        <w:t xml:space="preserve">Key challenges identified in the Frankfurt market include:</w:t>
      </w:r>
    </w:p>
    <w:p>
      <w:pPr>
        <w:numPr>
          <w:ilvl w:val="0"/>
          <w:numId w:val="1003"/>
        </w:numPr>
        <w:pStyle w:val="Compact"/>
      </w:pPr>
      <w:r>
        <w:rPr>
          <w:iCs/>
          <w:i/>
        </w:rPr>
        <w:t xml:space="preserve">Talent Shortage:</w:t>
      </w:r>
      <w:r>
        <w:t xml:space="preserve"> </w:t>
      </w:r>
      <w:r>
        <w:t xml:space="preserve">Only 18% of Marine Engineers in Germany hold the required "Hafenbeauftragte" certification (Federal Maritime Office, 2023). *Response: Launched "Frankfurt Marine Engineer Academy" with DHBW University, training 45 new engineers quarterly.</w:t>
      </w:r>
    </w:p>
    <w:p>
      <w:pPr>
        <w:numPr>
          <w:ilvl w:val="0"/>
          <w:numId w:val="1003"/>
        </w:numPr>
        <w:pStyle w:val="Compact"/>
      </w:pPr>
      <w:r>
        <w:rPr>
          <w:iCs/>
          <w:i/>
        </w:rPr>
        <w:t xml:space="preserve">Regulatory Complexity:</w:t>
      </w:r>
      <w:r>
        <w:t xml:space="preserve"> </w:t>
      </w:r>
      <w:r>
        <w:t xml:space="preserve">German port authorities require unique documentation for vessel inspections. *Response: Developed "Germany Compliance Dashboard" (digital platform) used by 92% of Frankfurt-based clients.</w:t>
      </w:r>
    </w:p>
    <w:p>
      <w:pPr>
        <w:numPr>
          <w:ilvl w:val="0"/>
          <w:numId w:val="1003"/>
        </w:numPr>
        <w:pStyle w:val="Compact"/>
      </w:pPr>
      <w:r>
        <w:rPr>
          <w:iCs/>
          <w:i/>
        </w:rPr>
        <w:t xml:space="preserve">Economic Pressure:</w:t>
      </w:r>
      <w:r>
        <w:t xml:space="preserve"> </w:t>
      </w:r>
      <w:r>
        <w:t xml:space="preserve">Fuel cost volatility impacting shipping margins. *Response: Bundled our Marine Engineer services with our "Fuel Efficiency Optimization Package" achieving 17% average fuel savings for clients.</w:t>
      </w:r>
    </w:p>
    <w:bookmarkEnd w:id="25"/>
    <w:bookmarkStart w:id="26" w:name="strategic-outlook-for-germany-frankfurt"/>
    <w:p>
      <w:pPr>
        <w:pStyle w:val="Heading2"/>
      </w:pPr>
      <w:r>
        <w:t xml:space="preserve">2024 Strategic Outlook for Germany Frankfurt</w:t>
      </w:r>
    </w:p>
    <w:p>
      <w:pPr>
        <w:pStyle w:val="FirstParagraph"/>
      </w:pPr>
      <w:r>
        <w:t xml:space="preserve">We project 35-40% revenue growth in the Frankfurt Marine Engineer services segment through:</w:t>
      </w:r>
    </w:p>
    <w:p>
      <w:pPr>
        <w:numPr>
          <w:ilvl w:val="0"/>
          <w:numId w:val="1004"/>
        </w:numPr>
        <w:pStyle w:val="Compact"/>
      </w:pPr>
      <w:r>
        <w:rPr>
          <w:bCs/>
          <w:b/>
        </w:rPr>
        <w:t xml:space="preserve">Expanding into Hydrogen Shipping:</w:t>
      </w:r>
      <w:r>
        <w:t xml:space="preserve"> </w:t>
      </w:r>
      <w:r>
        <w:t xml:space="preserve">Partnering with German Hydrogen Network (GHN) to certify Marine Engineers for hydrogen-powered vessel systems – a €1.2B market opportunity by 2025.</w:t>
      </w:r>
    </w:p>
    <w:p>
      <w:pPr>
        <w:numPr>
          <w:ilvl w:val="0"/>
          <w:numId w:val="1004"/>
        </w:numPr>
        <w:pStyle w:val="Compact"/>
      </w:pPr>
      <w:r>
        <w:rPr>
          <w:bCs/>
          <w:b/>
        </w:rPr>
        <w:t xml:space="preserve">AI-Powered Predictive Maintenance:</w:t>
      </w:r>
      <w:r>
        <w:t xml:space="preserve"> </w:t>
      </w:r>
      <w:r>
        <w:t xml:space="preserve">Deploying machine learning tools at our Frankfurt data center to anticipate machinery failures, reducing client downtime by 30%.</w:t>
      </w:r>
    </w:p>
    <w:p>
      <w:pPr>
        <w:numPr>
          <w:ilvl w:val="0"/>
          <w:numId w:val="1004"/>
        </w:numPr>
        <w:pStyle w:val="Compact"/>
      </w:pPr>
      <w:r>
        <w:rPr>
          <w:bCs/>
          <w:b/>
        </w:rPr>
        <w:t xml:space="preserve">Government Contract Pipeline:</w:t>
      </w:r>
      <w:r>
        <w:t xml:space="preserve"> </w:t>
      </w:r>
      <w:r>
        <w:t xml:space="preserve">Targeting €4.7M in public tender opportunities with BSH (Federal Maritime and Hydrographic Agency) for sustainable port infrastructure engineering.</w:t>
      </w:r>
    </w:p>
    <w:bookmarkEnd w:id="26"/>
    <w:bookmarkStart w:id="27" w:name="conclusion"/>
    <w:p>
      <w:pPr>
        <w:pStyle w:val="Heading2"/>
      </w:pPr>
      <w:r>
        <w:t xml:space="preserve">Conclusion</w:t>
      </w:r>
    </w:p>
    <w:p>
      <w:pPr>
        <w:pStyle w:val="FirstParagraph"/>
      </w:pPr>
      <w:r>
        <w:t xml:space="preserve">The Germany Frankfurt market represents the epicenter of Europe's maritime innovation ecosystem. Our Sales Report demonstrates that positioning Marine Engineer services as strategic operational enablers – rather than technical support – has yielded exceptional results in this high-value market. The combination of localized expertise, regulatory mastery, and sustainable solution integration has established us as the preferred Marine Engineering partner for Frankfurt-based maritime enterprises. As Germany accelerates its green shipping transition and Frankfurt continues to consolidate its position as Europe's logistics capital, our Marine Engineer service offering is poised for sustained growth with a projected 40% market share capture within the German inland headquarters segment by 2025.</w:t>
      </w:r>
    </w:p>
    <w:p>
      <w:pPr>
        <w:pStyle w:val="BodyText"/>
      </w:pPr>
      <w:r>
        <w:rPr>
          <w:bCs/>
          <w:b/>
        </w:rPr>
        <w:t xml:space="preserve">Prepared For:</w:t>
      </w:r>
      <w:r>
        <w:t xml:space="preserve"> </w:t>
      </w:r>
      <w:r>
        <w:t xml:space="preserve">Board of Directors, European Operations Leadership |</w:t>
      </w:r>
      <w:r>
        <w:t xml:space="preserve"> </w:t>
      </w:r>
      <w:r>
        <w:rPr>
          <w:bCs/>
          <w:b/>
        </w:rPr>
        <w:t xml:space="preserve">Date:</w:t>
      </w:r>
      <w:r>
        <w:t xml:space="preserve"> </w:t>
      </w:r>
      <w:r>
        <w:t xml:space="preserve">October 26, 2023 |</w:t>
      </w:r>
      <w:r>
        <w:t xml:space="preserve"> </w:t>
      </w:r>
      <w:r>
        <w:rPr>
          <w:bCs/>
          <w:b/>
        </w:rPr>
        <w:t xml:space="preserve">Sales Report Reference #</w:t>
      </w:r>
      <w:r>
        <w:t xml:space="preserve">: FRK-ME-8739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Engineering Services in Germany Frankfurt Market</dc:title>
  <dc:creator/>
  <dc:language>en</dc:language>
  <cp:keywords/>
  <dcterms:created xsi:type="dcterms:W3CDTF">2026-07-23T09:12:27Z</dcterms:created>
  <dcterms:modified xsi:type="dcterms:W3CDTF">2026-07-23T09:12:27Z</dcterms:modified>
</cp:coreProperties>
</file>

<file path=docProps/custom.xml><?xml version="1.0" encoding="utf-8"?>
<Properties xmlns="http://schemas.openxmlformats.org/officeDocument/2006/custom-properties" xmlns:vt="http://schemas.openxmlformats.org/officeDocument/2006/docPropsVTypes"/>
</file>