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27" w:name="Xf48577bf33e97bc9199e0f7952732de9cfba118"/>
    <w:p>
      <w:pPr>
        <w:pStyle w:val="Heading1"/>
      </w:pPr>
      <w:r>
        <w:t xml:space="preserve">Quarterly Sales Report: Marine Engineering Solutions for the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Strategy Division, Amsterdam Marine Solutions (AMS)</w:t>
      </w:r>
    </w:p>
    <w:bookmarkStart w:id="20" w:name="i.-executive-summary"/>
    <w:p>
      <w:pPr>
        <w:pStyle w:val="Heading2"/>
      </w:pPr>
      <w:r>
        <w:t xml:space="preserve">I. Executive Summary</w:t>
      </w:r>
    </w:p>
    <w:p>
      <w:pPr>
        <w:pStyle w:val="FirstParagraph"/>
      </w:pPr>
      <w:r>
        <w:t xml:space="preserve">The Netherlands Amsterdam market demonstrated robust growth in demand for specialized Marine Engineer services during Q3 2023. AMS achieved a 18.7% year-over-year increase in sales revenue, totaling €4,250,000 across the Dutch maritime sector. This growth was directly driven by heightened activity at the Port of Rotterdam and strategic partnerships within Amsterdam's innovative marine ecosystem. The report details sales performance, market dynamics specific to Netherlands Amsterdam, and actionable recommendations for sustaining momentum in this critical segment.</w:t>
      </w:r>
    </w:p>
    <w:bookmarkEnd w:id="20"/>
    <w:bookmarkStart w:id="21" w:name="X59b74bc833af1326addee4ef66a17b87c1f854e"/>
    <w:p>
      <w:pPr>
        <w:pStyle w:val="Heading2"/>
      </w:pPr>
      <w:r>
        <w:t xml:space="preserve">II. Market Context: Why Marine Engineering in Netherlands Amsterdam?</w:t>
      </w:r>
    </w:p>
    <w:p>
      <w:pPr>
        <w:pStyle w:val="FirstParagraph"/>
      </w:pPr>
      <w:r>
        <w:t xml:space="preserve">Amsterdam’s position as the economic and logistical heart of the Netherlands’ maritime industry is undeniable. As a global hub connecting continental Europe to international shipping lanes via the North Sea, Amsterdam provides unparalleled access to major maritime clients, including shipyards (e.g., Damen Shipyards), logistics giants (e.g., Kuehne+Nagel), and renewable energy developers targeting Dutch offshore wind farms. The Netherlands Ministry of Infrastructure &amp; Water Management’s "Maritime Agenda 2030" further accelerates demand for certified Marine Engineers to support sustainable ship design, port infrastructure upgrades, and compliance with stringent EU emissions regulations (EU ETS). In this context, the role of a Marine Engineer transcends technical expertise—it becomes pivotal to navigating the Netherlands' ambitious green transition and securing Amsterdam’s status as Europe's premier maritime capital.</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YoY Change</w:t>
            </w:r>
          </w:p>
        </w:tc>
        <w:tc>
          <w:tcPr/>
          <w:p>
            <w:pPr>
              <w:pStyle w:val="Compact"/>
              <w:jc w:val="left"/>
            </w:pPr>
            <w:r>
              <w:t xml:space="preserve">Key Clients in Netherlands Amsterdam</w:t>
            </w:r>
          </w:p>
        </w:tc>
      </w:tr>
      <w:tr>
        <w:tc>
          <w:tcPr/>
          <w:p>
            <w:pPr>
              <w:pStyle w:val="Compact"/>
              <w:jc w:val="left"/>
            </w:pPr>
            <w:r>
              <w:t xml:space="preserve">Precision Marine Engineering Consultancy</w:t>
            </w:r>
          </w:p>
        </w:tc>
        <w:tc>
          <w:tcPr/>
          <w:p>
            <w:pPr>
              <w:pStyle w:val="Compact"/>
              <w:jc w:val="left"/>
            </w:pPr>
            <w:r>
              <w:t xml:space="preserve">1,850,000</w:t>
            </w:r>
          </w:p>
        </w:tc>
        <w:tc>
          <w:tcPr/>
          <w:p>
            <w:pPr>
              <w:pStyle w:val="Compact"/>
              <w:jc w:val="left"/>
            </w:pPr>
            <w:r>
              <w:t xml:space="preserve">+22.4%</w:t>
            </w:r>
          </w:p>
        </w:tc>
        <w:tc>
          <w:tcPr/>
          <w:p>
            <w:pPr>
              <w:pStyle w:val="Compact"/>
              <w:jc w:val="left"/>
            </w:pPr>
            <w:r>
              <w:t xml:space="preserve">Netherlands Maritime Cluster (Amsterdam), Royal Huisman</w:t>
            </w:r>
          </w:p>
        </w:tc>
      </w:tr>
      <w:tr>
        <w:tc>
          <w:tcPr/>
          <w:p>
            <w:pPr>
              <w:pStyle w:val="Compact"/>
              <w:jc w:val="left"/>
            </w:pPr>
            <w:r>
              <w:t xml:space="preserve">Sustainable Propulsion System Design</w:t>
            </w:r>
          </w:p>
        </w:tc>
        <w:tc>
          <w:tcPr/>
          <w:p>
            <w:pPr>
              <w:pStyle w:val="Compact"/>
              <w:jc w:val="left"/>
            </w:pPr>
            <w:r>
              <w:t xml:space="preserve">1,520,000</w:t>
            </w:r>
          </w:p>
        </w:tc>
        <w:tc>
          <w:tcPr/>
          <w:p>
            <w:pPr>
              <w:pStyle w:val="Compact"/>
              <w:jc w:val="left"/>
            </w:pPr>
            <w:r>
              <w:t xml:space="preserve">+31.1%</w:t>
            </w:r>
          </w:p>
        </w:tc>
        <w:tc>
          <w:tcPr/>
          <w:p>
            <w:pPr>
              <w:pStyle w:val="Compact"/>
              <w:jc w:val="left"/>
            </w:pPr>
            <w:r>
              <w:t xml:space="preserve">Port of Amsterdam Authority, Ocean Clean Energy Solutions (Amsterdam)</w:t>
            </w:r>
          </w:p>
        </w:tc>
      </w:tr>
      <w:tr>
        <w:tc>
          <w:tcPr/>
          <w:p>
            <w:pPr>
              <w:pStyle w:val="Compact"/>
              <w:jc w:val="left"/>
            </w:pPr>
            <w:r>
              <w:t xml:space="preserve">Compliance &amp; Safety Certification (SOLAS/IMO)</w:t>
            </w:r>
          </w:p>
        </w:tc>
        <w:tc>
          <w:tcPr/>
          <w:p>
            <w:pPr>
              <w:pStyle w:val="Compact"/>
              <w:jc w:val="left"/>
            </w:pPr>
            <w:r>
              <w:t xml:space="preserve">875,000</w:t>
            </w:r>
          </w:p>
        </w:tc>
        <w:tc>
          <w:tcPr/>
          <w:p>
            <w:pPr>
              <w:pStyle w:val="Compact"/>
              <w:jc w:val="left"/>
            </w:pPr>
            <w:r>
              <w:t xml:space="preserve">+14.6%</w:t>
            </w:r>
          </w:p>
        </w:tc>
        <w:tc>
          <w:tcPr/>
          <w:p>
            <w:pPr>
              <w:pStyle w:val="Compact"/>
              <w:jc w:val="left"/>
            </w:pPr>
            <w:r>
              <w:t xml:space="preserve">Dutch Coast Guard, APM Terminals</w:t>
            </w:r>
          </w:p>
        </w:tc>
      </w:tr>
      <w:tr>
        <w:tc>
          <w:tcPr/>
          <w:p>
            <w:pPr>
              <w:pStyle w:val="Compact"/>
              <w:jc w:val="left"/>
            </w:pPr>
            <w:r>
              <w:rPr>
                <w:bCs/>
                <w:b/>
              </w:rPr>
              <w:t xml:space="preserve">Total</w:t>
            </w:r>
          </w:p>
        </w:tc>
        <w:tc>
          <w:tcPr/>
          <w:p>
            <w:pPr>
              <w:pStyle w:val="Compact"/>
              <w:jc w:val="left"/>
            </w:pPr>
            <w:r>
              <w:rPr>
                <w:bCs/>
                <w:b/>
              </w:rPr>
              <w:t xml:space="preserve">€4,250,000</w:t>
            </w:r>
          </w:p>
        </w:tc>
        <w:tc>
          <w:tcPr/>
          <w:p>
            <w:pPr>
              <w:pStyle w:val="Compact"/>
              <w:jc w:val="left"/>
            </w:pPr>
            <w:r>
              <w:rPr>
                <w:bCs/>
                <w:b/>
              </w:rPr>
              <w:t xml:space="preserve">+18.7%</w:t>
            </w:r>
          </w:p>
        </w:tc>
        <w:tc>
          <w:tcPr/>
          <w:p>
            <w:pPr>
              <w:pStyle w:val="Compact"/>
            </w:pPr>
          </w:p>
        </w:tc>
      </w:tr>
    </w:tbl>
    <w:p>
      <w:pPr>
        <w:pStyle w:val="BodyText"/>
      </w:pPr>
      <w:r>
        <w:t xml:space="preserve">The surge in Sustainable Propulsion System Design reflects Amsterdam’s leadership in green shipping innovation. We secured three major contracts with offshore wind infrastructure developers operating from the Port of Amsterdam, leveraging our team of Marine Engineers certified in Dutch maritime safety protocols and EU environmental standards. The Netherlands’ national push for zero-emission vessels directly fueled this segment’s growth.</w:t>
      </w:r>
    </w:p>
    <w:bookmarkEnd w:id="22"/>
    <w:bookmarkStart w:id="23" w:name="X4a3b88a09529f918ef184892b29df3f24de1d9d"/>
    <w:p>
      <w:pPr>
        <w:pStyle w:val="Heading2"/>
      </w:pPr>
      <w:r>
        <w:t xml:space="preserve">IV. Key Drivers for Sales Growth in Amsterdam</w:t>
      </w:r>
    </w:p>
    <w:p>
      <w:pPr>
        <w:pStyle w:val="FirstParagraph"/>
      </w:pPr>
      <w:r>
        <w:rPr>
          <w:bCs/>
          <w:b/>
        </w:rPr>
        <w:t xml:space="preserve">1. Regulatory Tailwinds:</w:t>
      </w:r>
      <w:r>
        <w:t xml:space="preserve"> </w:t>
      </w:r>
      <w:r>
        <w:t xml:space="preserve">The Netherlands’ implementation of the "Dutch Ship Recycling Regulation" and stricter port emissions controls (e.g., Port of Rotterdam's 0.5% sulfur cap) created urgent demand for Marine Engineers to retrofit fleets and design compliant systems. AMS’s Amsterdam-based engineering team delivered rapid turnaround times, securing contracts with local shipowners within weeks.</w:t>
      </w:r>
    </w:p>
    <w:p>
      <w:pPr>
        <w:pStyle w:val="BodyText"/>
      </w:pPr>
      <w:r>
        <w:rPr>
          <w:bCs/>
          <w:b/>
        </w:rPr>
        <w:t xml:space="preserve">2. Local Talent Pipeline:</w:t>
      </w:r>
      <w:r>
        <w:t xml:space="preserve"> </w:t>
      </w:r>
      <w:r>
        <w:t xml:space="preserve">Partnerships with the University of Amsterdam (Faculty of Engineering) and Delft University of Technology’s Marine Engineering Program ensure a steady influx of certified graduates. This ecosystem allows AMS to offer tailored recruitment solutions—directly addressing the Netherlands’ critical shortage in qualified Marine Engineers, particularly in sustainable technologies.</w:t>
      </w:r>
    </w:p>
    <w:p>
      <w:pPr>
        <w:pStyle w:val="BodyText"/>
      </w:pPr>
      <w:r>
        <w:rPr>
          <w:bCs/>
          <w:b/>
        </w:rPr>
        <w:t xml:space="preserve">3. Geographic Advantage:</w:t>
      </w:r>
      <w:r>
        <w:t xml:space="preserve"> </w:t>
      </w:r>
      <w:r>
        <w:t xml:space="preserve">Amsterdam’s central location enables efficient collaboration with key stakeholders across the Dutch Delta region. Our on-site sales team at De Ruijterkade (Amsterdam) reduced client response times by 40%, fostering trust with firms like Boskalis and Heijmans, who prioritize local expertise for complex projects.</w:t>
      </w:r>
    </w:p>
    <w:bookmarkEnd w:id="23"/>
    <w:bookmarkStart w:id="24" w:name="Xd3e9079c032a6a817682525b29e8eb5372f6dc8"/>
    <w:p>
      <w:pPr>
        <w:pStyle w:val="Heading2"/>
      </w:pPr>
      <w:r>
        <w:t xml:space="preserve">V. Regional Challenges &amp; Mitigation Strategies</w:t>
      </w:r>
    </w:p>
    <w:p>
      <w:pPr>
        <w:pStyle w:val="FirstParagraph"/>
      </w:pPr>
      <w:r>
        <w:t xml:space="preserve">Despite strong growth, Amsterdam’s market presented unique hurdles. The primary challenge was the intense competition from established Dutch engineering firms offering lower-cost services, often with less specialized sustainability expertise. To counter this:</w:t>
      </w:r>
    </w:p>
    <w:p>
      <w:pPr>
        <w:numPr>
          <w:ilvl w:val="0"/>
          <w:numId w:val="1001"/>
        </w:numPr>
        <w:pStyle w:val="Compact"/>
      </w:pPr>
      <w:r>
        <w:t xml:space="preserve">AMS invested in a dedicated "Green Marine Engineering" certification program for our team, aligned with Netherlands-specific standards (e.g., Rijkswaterstaat guidelines).</w:t>
      </w:r>
    </w:p>
    <w:p>
      <w:pPr>
        <w:numPr>
          <w:ilvl w:val="0"/>
          <w:numId w:val="1001"/>
        </w:numPr>
        <w:pStyle w:val="Compact"/>
      </w:pPr>
      <w:r>
        <w:t xml:space="preserve">We launched a client education initiative ("Amsterdam Maritime Innovators Forum"), hosting quarterly workshops at the Amsterdam Maritime Museum to demonstrate ROI of advanced engineering solutions.</w:t>
      </w:r>
    </w:p>
    <w:p>
      <w:pPr>
        <w:numPr>
          <w:ilvl w:val="0"/>
          <w:numId w:val="1001"/>
        </w:numPr>
        <w:pStyle w:val="Compact"/>
      </w:pPr>
      <w:r>
        <w:t xml:space="preserve">Adopted Dutch-language client communication protocols for all sales interactions, recognizing that 70% of high-value Netherlands Amsterdam contracts require bilingual technical discussions.</w:t>
      </w:r>
    </w:p>
    <w:bookmarkEnd w:id="24"/>
    <w:bookmarkStart w:id="25" w:name="X987cd6b07cbab35859f0517dc41330804205735"/>
    <w:p>
      <w:pPr>
        <w:pStyle w:val="Heading2"/>
      </w:pPr>
      <w:r>
        <w:t xml:space="preserve">VI. Strategic Recommendations for Q4 2023 &amp; Beyond</w:t>
      </w:r>
    </w:p>
    <w:p>
      <w:pPr>
        <w:pStyle w:val="FirstParagraph"/>
      </w:pPr>
      <w:r>
        <w:rPr>
          <w:bCs/>
          <w:b/>
        </w:rPr>
        <w:t xml:space="preserve">1. Deepen Port Collaboration:</w:t>
      </w:r>
      <w:r>
        <w:t xml:space="preserve"> </w:t>
      </w:r>
      <w:r>
        <w:t xml:space="preserve">Partner with the Port of Amsterdam’s Innovation Hub to co-develop Marine Engineer training modules focused on automated port logistics—addressing a critical gap identified in our client feedback.</w:t>
      </w:r>
    </w:p>
    <w:p>
      <w:pPr>
        <w:pStyle w:val="BodyText"/>
      </w:pPr>
      <w:r>
        <w:rPr>
          <w:bCs/>
          <w:b/>
        </w:rPr>
        <w:t xml:space="preserve">2. Target Offshore Wind Expansion:</w:t>
      </w:r>
      <w:r>
        <w:t xml:space="preserve"> </w:t>
      </w:r>
      <w:r>
        <w:t xml:space="preserve">Allocate 30% of Q4 sales resources to tendering for Dutch government-funded offshore wind farm projects (e.g., the "Nordsee One" expansion), where Marine Engineers are required for vessel integration and environmental impact assessments.</w:t>
      </w:r>
    </w:p>
    <w:p>
      <w:pPr>
        <w:pStyle w:val="BodyText"/>
      </w:pPr>
      <w:r>
        <w:rPr>
          <w:bCs/>
          <w:b/>
        </w:rPr>
        <w:t xml:space="preserve">3. Enhance Local Tech Integration:</w:t>
      </w:r>
      <w:r>
        <w:t xml:space="preserve"> </w:t>
      </w:r>
      <w:r>
        <w:t xml:space="preserve">Implement a digital dashboard showcasing real-time project metrics (e.g., emissions reduction per Marine Engineer deployment) for Netherlands clients, leveraging Amsterdam’s strong tech infrastructure to demonstrate tangible value.</w:t>
      </w:r>
    </w:p>
    <w:bookmarkEnd w:id="25"/>
    <w:bookmarkStart w:id="26" w:name="X0431a3909aacfb402993485b4f08f1ad3dabe92"/>
    <w:p>
      <w:pPr>
        <w:pStyle w:val="Heading2"/>
      </w:pPr>
      <w:r>
        <w:t xml:space="preserve">VII. Conclusion: The Future is Engineered in Amsterdam</w:t>
      </w:r>
    </w:p>
    <w:p>
      <w:pPr>
        <w:pStyle w:val="FirstParagraph"/>
      </w:pPr>
      <w:r>
        <w:t xml:space="preserve">The Netherlands Amsterdam market has cemented its status as a global nexus for marine engineering excellence. As the leading provider of Marine Engineer services in this region, AMS is uniquely positioned to capitalize on the country’s maritime ambitions—from achieving carbon neutrality by 2050 to expanding port capacity for next-generation cargo ships. Our Q3 sales success validates our strategy: embedding local expertise within a global framework delivers unmatched client value. We project sustained double-digit growth through 2024, driven by the Netherlands’ unwavering commitment to maritime innovation and the indispensable role of the Marine Engineer in shaping its future.</w:t>
      </w:r>
    </w:p>
    <w:p>
      <w:pPr>
        <w:pStyle w:val="BodyText"/>
      </w:pPr>
      <w:r>
        <w:rPr>
          <w:bCs/>
          <w:b/>
        </w:rPr>
        <w:t xml:space="preserve">Prepared By:</w:t>
      </w:r>
      <w:r>
        <w:t xml:space="preserve"> </w:t>
      </w:r>
      <w:r>
        <w:t xml:space="preserve">Elena Vargas, Head of Sales &amp; Market Development</w:t>
      </w:r>
      <w:r>
        <w:br/>
      </w:r>
      <w:r>
        <w:rPr>
          <w:bCs/>
          <w:b/>
        </w:rPr>
        <w:t xml:space="preserve">Contact:</w:t>
      </w:r>
      <w:r>
        <w:t xml:space="preserve"> </w:t>
      </w:r>
      <w:r>
        <w:t xml:space="preserve">evargas@ams-nl.com | +31 (0)20 799 1234 (Amsterdam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Amsterdam, Netherlands</dc:title>
  <dc:creator/>
  <dc:language>en</dc:language>
  <cp:keywords/>
  <dcterms:created xsi:type="dcterms:W3CDTF">2026-07-23T04:17:08Z</dcterms:created>
  <dcterms:modified xsi:type="dcterms:W3CDTF">2026-07-23T04:17:08Z</dcterms:modified>
</cp:coreProperties>
</file>

<file path=docProps/custom.xml><?xml version="1.0" encoding="utf-8"?>
<Properties xmlns="http://schemas.openxmlformats.org/officeDocument/2006/custom-properties" xmlns:vt="http://schemas.openxmlformats.org/officeDocument/2006/docPropsVTypes"/>
</file>