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Market</w:t>
      </w:r>
    </w:p>
    <w:bookmarkStart w:id="28" w:name="Xbd84a899a9bcb415af652a14d720537b2196dbe"/>
    <w:p>
      <w:pPr>
        <w:pStyle w:val="Heading1"/>
      </w:pPr>
      <w:r>
        <w:t xml:space="preserve">Comprehensive Sales Report: Marine Engineering Services in the United Arab Emirates Abu Dhabi Market</w:t>
      </w:r>
    </w:p>
    <w:bookmarkStart w:id="20" w:name="executive-summary"/>
    <w:p>
      <w:pPr>
        <w:pStyle w:val="Heading2"/>
      </w:pPr>
      <w:r>
        <w:t xml:space="preserve">Executive Summary</w:t>
      </w:r>
    </w:p>
    <w:p>
      <w:pPr>
        <w:pStyle w:val="FirstParagraph"/>
      </w:pPr>
      <w:r>
        <w:t xml:space="preserve">This report details the performance, market dynamics, and strategic outlook for Marine Engineering services within the United Arab Emirates Abu Dhabi jurisdiction during Q3 2023. The Abu Dhabi marine sector remains a critical economic pillar, driven by port expansion projects (notably at Zayed Port and Khalifa Port), ADNOC offshore operations, and significant investments in maritime infrastructure. Our Marine Engineer service division has achieved a 15% year-over-year growth in contract value, reaching AED 28.7 million for the quarter. This success underscores the vital role of qualified Marine Engineers across Abu Dhabi's strategic maritime ecosystem.</w:t>
      </w:r>
    </w:p>
    <w:bookmarkEnd w:id="20"/>
    <w:bookmarkStart w:id="21" w:name="X3dee41181b5049a6e0025c51ce499522fbb2a82"/>
    <w:p>
      <w:pPr>
        <w:pStyle w:val="Heading2"/>
      </w:pPr>
      <w:r>
        <w:t xml:space="preserve">Market Context: Abu Dhabi's Strategic Maritime Landscape</w:t>
      </w:r>
    </w:p>
    <w:p>
      <w:pPr>
        <w:pStyle w:val="FirstParagraph"/>
      </w:pPr>
      <w:r>
        <w:t xml:space="preserve">The United Arab Emirates, and particularly Abu Dhabi, continues to solidify its position as a global maritime hub. With the Port of Abu Dhabi (operated by AD Ports Group) handling over 15 million TEUs annually and the ongoing expansion of Khalifa Port into a multi-modal logistics center, demand for specialized Marine Engineering expertise is unprecedented. ADNOC's continued focus on offshore oil and gas production necessitates rigorous vessel maintenance, platform support, and port facility engineering – all requiring certified Marine Engineers. The Abu Dhabi government's Vision 2030 initiative further accelerates demand for sustainable marine solutions, including LNG-powered vessels and eco-friendly port operations.</w:t>
      </w:r>
    </w:p>
    <w:bookmarkEnd w:id="21"/>
    <w:bookmarkStart w:id="23" w:name="sales-performance-overview-q3-2023"/>
    <w:p>
      <w:pPr>
        <w:pStyle w:val="Heading2"/>
      </w:pPr>
      <w:r>
        <w:t xml:space="preserve">Sales Performance Overview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Value</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Marine Engineer Service Contract Value (AED)</w:t>
            </w:r>
          </w:p>
        </w:tc>
        <w:tc>
          <w:tcPr/>
          <w:p>
            <w:pPr>
              <w:pStyle w:val="Compact"/>
              <w:jc w:val="left"/>
            </w:pPr>
            <w:r>
              <w:t xml:space="preserve">28,700,000</w:t>
            </w:r>
          </w:p>
        </w:tc>
        <w:tc>
          <w:tcPr/>
          <w:p>
            <w:pPr>
              <w:pStyle w:val="Compact"/>
              <w:jc w:val="left"/>
            </w:pPr>
            <w:r>
              <w:t xml:space="preserve">+15%</w:t>
            </w:r>
          </w:p>
        </w:tc>
        <w:tc>
          <w:tcPr/>
          <w:p>
            <w:pPr>
              <w:pStyle w:val="Compact"/>
              <w:jc w:val="left"/>
            </w:pPr>
            <w:r>
              <w:t xml:space="preserve">112% of Target</w:t>
            </w:r>
          </w:p>
        </w:tc>
      </w:tr>
      <w:tr>
        <w:tc>
          <w:tcPr/>
          <w:p>
            <w:pPr>
              <w:pStyle w:val="Compact"/>
              <w:jc w:val="left"/>
            </w:pPr>
            <w:r>
              <w:t xml:space="preserve">New Client Acquisitions (Abu Dhabi-Based)</w:t>
            </w:r>
          </w:p>
        </w:tc>
        <w:tc>
          <w:tcPr/>
          <w:p>
            <w:pPr>
              <w:pStyle w:val="Compact"/>
              <w:jc w:val="left"/>
            </w:pPr>
            <w:r>
              <w:t xml:space="preserve">8</w:t>
            </w:r>
          </w:p>
        </w:tc>
        <w:tc>
          <w:tcPr/>
          <w:p>
            <w:pPr>
              <w:pStyle w:val="Compact"/>
              <w:jc w:val="left"/>
            </w:pPr>
            <w:r>
              <w:t xml:space="preserve">+23%</w:t>
            </w:r>
          </w:p>
        </w:tc>
        <w:tc>
          <w:tcPr/>
          <w:p>
            <w:pPr>
              <w:pStyle w:val="Compact"/>
              <w:jc w:val="left"/>
            </w:pPr>
            <w:r>
              <w:t xml:space="preserve">105% of Target</w:t>
            </w:r>
          </w:p>
        </w:tc>
      </w:tr>
      <w:tr>
        <w:tc>
          <w:tcPr/>
          <w:p>
            <w:pPr>
              <w:pStyle w:val="Compact"/>
              <w:jc w:val="left"/>
            </w:pPr>
            <w:r>
              <w:t xml:space="preserve">Key Projects Secured (Abu Dhabi Location)</w:t>
            </w:r>
          </w:p>
        </w:tc>
        <w:tc>
          <w:tcPr/>
          <w:p>
            <w:pPr>
              <w:pStyle w:val="Compact"/>
              <w:jc w:val="left"/>
            </w:pPr>
            <w:r>
              <w:t xml:space="preserve">4 Major Contracts</w:t>
            </w:r>
          </w:p>
        </w:tc>
        <w:tc>
          <w:tcPr/>
          <w:p>
            <w:pPr>
              <w:pStyle w:val="Compact"/>
              <w:jc w:val="left"/>
            </w:pPr>
            <w:r>
              <w:t xml:space="preserve">+33%</w:t>
            </w:r>
          </w:p>
        </w:tc>
        <w:tc>
          <w:tcPr/>
          <w:p>
            <w:pPr>
              <w:pStyle w:val="Compact"/>
              <w:jc w:val="left"/>
            </w:pPr>
            <w:r>
              <w:t xml:space="preserve">120% of Target</w:t>
            </w:r>
          </w:p>
        </w:tc>
      </w:tr>
      <w:tr>
        <w:tc>
          <w:tcPr/>
          <w:p>
            <w:pPr>
              <w:pStyle w:val="Compact"/>
              <w:jc w:val="left"/>
            </w:pPr>
            <w:r>
              <w:t xml:space="preserve">Average Contract Duration (Months)</w:t>
            </w:r>
          </w:p>
        </w:tc>
        <w:tc>
          <w:tcPr/>
          <w:p>
            <w:pPr>
              <w:pStyle w:val="Compact"/>
              <w:jc w:val="left"/>
            </w:pPr>
            <w:r>
              <w:t xml:space="preserve">24</w:t>
            </w:r>
          </w:p>
        </w:tc>
        <w:tc>
          <w:tcPr/>
          <w:p>
            <w:pPr>
              <w:pStyle w:val="Compact"/>
              <w:jc w:val="left"/>
            </w:pPr>
            <w:r>
              <w:t xml:space="preserve">+2 Months</w:t>
            </w:r>
          </w:p>
        </w:tc>
        <w:tc>
          <w:tcPr/>
          <w:p>
            <w:pPr>
              <w:pStyle w:val="Compact"/>
              <w:jc w:val="left"/>
            </w:pPr>
            <w:r>
              <w:t xml:space="preserve">-</w:t>
            </w:r>
          </w:p>
        </w:tc>
      </w:tr>
    </w:tbl>
    <w:bookmarkStart w:id="22" w:name="key-growth-drivers-in-abu-dhabi"/>
    <w:p>
      <w:pPr>
        <w:pStyle w:val="Heading3"/>
      </w:pPr>
      <w:r>
        <w:t xml:space="preserve">Key Growth Drivers in Abu Dhabi:</w:t>
      </w:r>
    </w:p>
    <w:p>
      <w:pPr>
        <w:numPr>
          <w:ilvl w:val="0"/>
          <w:numId w:val="1001"/>
        </w:numPr>
        <w:pStyle w:val="Compact"/>
      </w:pPr>
      <w:r>
        <w:rPr>
          <w:bCs/>
          <w:b/>
        </w:rPr>
        <w:t xml:space="preserve">Port Infrastructure Expansion:</w:t>
      </w:r>
      <w:r>
        <w:t xml:space="preserve"> </w:t>
      </w:r>
      <w:r>
        <w:t xml:space="preserve">Major contracts with AD Ports Group for engineering support at the new Zayed Port Phase II and Mina Zayed facilities.</w:t>
      </w:r>
    </w:p>
    <w:p>
      <w:pPr>
        <w:numPr>
          <w:ilvl w:val="0"/>
          <w:numId w:val="1001"/>
        </w:numPr>
        <w:pStyle w:val="Compact"/>
      </w:pPr>
      <w:r>
        <w:rPr>
          <w:bCs/>
          <w:b/>
        </w:rPr>
        <w:t xml:space="preserve">ADNOC Energy Projects:</w:t>
      </w:r>
      <w:r>
        <w:t xml:space="preserve"> </w:t>
      </w:r>
      <w:r>
        <w:t xml:space="preserve">Significant increase in demand for Marine Engineers to support offshore platform maintenance, vessel refit programs, and new build oversight at Abu Dhabi's offshore terminals.</w:t>
      </w:r>
    </w:p>
    <w:p>
      <w:pPr>
        <w:numPr>
          <w:ilvl w:val="0"/>
          <w:numId w:val="1001"/>
        </w:numPr>
        <w:pStyle w:val="Compact"/>
      </w:pPr>
      <w:r>
        <w:rPr>
          <w:bCs/>
          <w:b/>
        </w:rPr>
        <w:t xml:space="preserve">Sustainability Mandates:</w:t>
      </w:r>
      <w:r>
        <w:t xml:space="preserve"> </w:t>
      </w:r>
      <w:r>
        <w:t xml:space="preserve">Rising contracts for marine engineers specializing in emissions reduction systems, waste management protocols compliant with UAE Federal Law No. 24 of 1999 on Environmental Protection.</w:t>
      </w:r>
    </w:p>
    <w:p>
      <w:pPr>
        <w:numPr>
          <w:ilvl w:val="0"/>
          <w:numId w:val="1001"/>
        </w:numPr>
        <w:pStyle w:val="Compact"/>
      </w:pPr>
      <w:r>
        <w:rPr>
          <w:bCs/>
          <w:b/>
        </w:rPr>
        <w:t xml:space="preserve">Government Initiatives:</w:t>
      </w:r>
      <w:r>
        <w:t xml:space="preserve"> </w:t>
      </w:r>
      <w:r>
        <w:t xml:space="preserve">Abu Dhabi's "Maritime Strategy" emphasizing local talent development and high-value engineering services directly fuels our sales pipeline.</w:t>
      </w:r>
    </w:p>
    <w:bookmarkEnd w:id="22"/>
    <w:bookmarkEnd w:id="23"/>
    <w:bookmarkStart w:id="24" w:name="Xcf2448e32d6946053544d15a4b23a37362e1601"/>
    <w:p>
      <w:pPr>
        <w:pStyle w:val="Heading2"/>
      </w:pPr>
      <w:r>
        <w:t xml:space="preserve">Top-Performing Marine Engineer Service Lines in Abu Dhabi</w:t>
      </w:r>
    </w:p>
    <w:p>
      <w:pPr>
        <w:numPr>
          <w:ilvl w:val="0"/>
          <w:numId w:val="1002"/>
        </w:numPr>
        <w:pStyle w:val="Compact"/>
      </w:pPr>
      <w:r>
        <w:rPr>
          <w:bCs/>
          <w:b/>
        </w:rPr>
        <w:t xml:space="preserve">Offshore Vessel Maintenance &amp; Repair (VMR):</w:t>
      </w:r>
      <w:r>
        <w:t xml:space="preserve"> </w:t>
      </w:r>
      <w:r>
        <w:t xml:space="preserve">Accounted for 42% of revenue. Included major dry-dock projects for ADNOC-operated support vessels at Al Salam Shipyard (Abu Dhabi), requiring Class 1 Marine Engineers with offshore experience.</w:t>
      </w:r>
    </w:p>
    <w:p>
      <w:pPr>
        <w:numPr>
          <w:ilvl w:val="0"/>
          <w:numId w:val="1002"/>
        </w:numPr>
        <w:pStyle w:val="Compact"/>
      </w:pPr>
      <w:r>
        <w:rPr>
          <w:bCs/>
          <w:b/>
        </w:rPr>
        <w:t xml:space="preserve">Port Engineering &amp; Infrastructure Support:</w:t>
      </w:r>
      <w:r>
        <w:t xml:space="preserve"> </w:t>
      </w:r>
      <w:r>
        <w:t xml:space="preserve">30% of revenue. Projects involved structural assessments, dredging operations engineering, and electrical systems upgrades at key Abu Dhabi ports under AD Ports Group mandates.</w:t>
      </w:r>
    </w:p>
    <w:p>
      <w:pPr>
        <w:numPr>
          <w:ilvl w:val="0"/>
          <w:numId w:val="1002"/>
        </w:numPr>
        <w:pStyle w:val="Compact"/>
      </w:pPr>
      <w:r>
        <w:rPr>
          <w:bCs/>
          <w:b/>
        </w:rPr>
        <w:t xml:space="preserve">Sustainability Compliance &amp; Auditing:</w:t>
      </w:r>
      <w:r>
        <w:t xml:space="preserve"> </w:t>
      </w:r>
      <w:r>
        <w:t xml:space="preserve">Fastest-growing segment (65% YoY). Marine Engineers certified in ISO 14001 and UAE environmental standards were crucial for securing contracts with major energy and logistics firms.</w:t>
      </w:r>
    </w:p>
    <w:p>
      <w:pPr>
        <w:numPr>
          <w:ilvl w:val="0"/>
          <w:numId w:val="1002"/>
        </w:numPr>
        <w:pStyle w:val="Compact"/>
      </w:pPr>
      <w:r>
        <w:rPr>
          <w:bCs/>
          <w:b/>
        </w:rPr>
        <w:t xml:space="preserve">Marine Surveying &amp; Certification Support:</w:t>
      </w:r>
      <w:r>
        <w:t xml:space="preserve"> </w:t>
      </w:r>
      <w:r>
        <w:t xml:space="preserve">Essential for clients navigating UAE Federal Transport Authority (FTA) regulations; represented 18% of new business.</w:t>
      </w:r>
    </w:p>
    <w:bookmarkEnd w:id="24"/>
    <w:bookmarkStart w:id="25" w:name="challenges-in-the-abu-dhabi-market"/>
    <w:p>
      <w:pPr>
        <w:pStyle w:val="Heading2"/>
      </w:pPr>
      <w:r>
        <w:t xml:space="preserve">Challenges in the Abu Dhabi Market</w:t>
      </w:r>
    </w:p>
    <w:p>
      <w:pPr>
        <w:pStyle w:val="FirstParagraph"/>
      </w:pPr>
      <w:r>
        <w:t xml:space="preserve">Despite strong growth, significant challenges persist. The most critical is the intense competition for highly skilled, internationally certified Marine Engineers with UAE experience. Visa processing delays for foreign engineering talent remain a bottleneck, especially for specialized roles like propulsion system specialists or subsea engineers. Additionally, some Abu Dhabi clients (particularly smaller local firms) still require extensive education on the long-term value of proactive marine engineering versus reactive repairs – a challenge our sales team actively addresses through case studies demonstrating cost savings.</w:t>
      </w:r>
    </w:p>
    <w:bookmarkEnd w:id="25"/>
    <w:bookmarkStart w:id="26" w:name="Xc5c7eb51a2698651074e36263db0441d6e3c170"/>
    <w:p>
      <w:pPr>
        <w:pStyle w:val="Heading2"/>
      </w:pPr>
      <w:r>
        <w:t xml:space="preserve">Strategic Recommendations for Future Growth</w:t>
      </w:r>
    </w:p>
    <w:p>
      <w:pPr>
        <w:pStyle w:val="FirstParagraph"/>
      </w:pPr>
      <w:r>
        <w:t xml:space="preserve">Based on Q3 performance, we recommend the following focused actions for sustained success in the United Arab Emirates Abu Dhabi market:</w:t>
      </w:r>
    </w:p>
    <w:p>
      <w:pPr>
        <w:numPr>
          <w:ilvl w:val="0"/>
          <w:numId w:val="1003"/>
        </w:numPr>
        <w:pStyle w:val="Compact"/>
      </w:pPr>
      <w:r>
        <w:rPr>
          <w:bCs/>
          <w:b/>
        </w:rPr>
        <w:t xml:space="preserve">Local Talent Partnership Program:</w:t>
      </w:r>
      <w:r>
        <w:t xml:space="preserve"> </w:t>
      </w:r>
      <w:r>
        <w:t xml:space="preserve">Forge formal agreements with UAE universities (e.g., Khalifa University, Masdar Institute) and technical colleges to develop a pipeline of certified Marine Engineers within Abu Dhabi, reducing reliance on foreign visa processes.</w:t>
      </w:r>
    </w:p>
    <w:p>
      <w:pPr>
        <w:numPr>
          <w:ilvl w:val="0"/>
          <w:numId w:val="1003"/>
        </w:numPr>
        <w:pStyle w:val="Compact"/>
      </w:pPr>
      <w:r>
        <w:rPr>
          <w:bCs/>
          <w:b/>
        </w:rPr>
        <w:t xml:space="preserve">Specialized Abu Dhabi Compliance Hub:</w:t>
      </w:r>
      <w:r>
        <w:t xml:space="preserve"> </w:t>
      </w:r>
      <w:r>
        <w:t xml:space="preserve">Create an internal team of Marine Engineers deeply versed in UAE-specific regulations (FTA, ADNOC standards, Abu Dhabi Environment Agency guidelines) to streamline proposals and client education.</w:t>
      </w:r>
    </w:p>
    <w:p>
      <w:pPr>
        <w:numPr>
          <w:ilvl w:val="0"/>
          <w:numId w:val="1003"/>
        </w:numPr>
        <w:pStyle w:val="Compact"/>
      </w:pPr>
      <w:r>
        <w:rPr>
          <w:bCs/>
          <w:b/>
        </w:rPr>
        <w:t xml:space="preserve">Leverage Port Expansion Projects:</w:t>
      </w:r>
      <w:r>
        <w:t xml:space="preserve"> </w:t>
      </w:r>
      <w:r>
        <w:t xml:space="preserve">Proactively target engineering support contracts for the ongoing Khalifa Port mega-expansion and Zayed Port Phase II construction phases – high-value opportunities demanding immediate Marine Engineer deployment.</w:t>
      </w:r>
    </w:p>
    <w:p>
      <w:pPr>
        <w:numPr>
          <w:ilvl w:val="0"/>
          <w:numId w:val="1003"/>
        </w:numPr>
        <w:pStyle w:val="Compact"/>
      </w:pPr>
      <w:r>
        <w:rPr>
          <w:bCs/>
          <w:b/>
        </w:rPr>
        <w:t xml:space="preserve">Digital Sales Enablement:</w:t>
      </w:r>
      <w:r>
        <w:t xml:space="preserve"> </w:t>
      </w:r>
      <w:r>
        <w:t xml:space="preserve">Develop a UAE-focused digital resource library (e.g., "Marine Engineering in Abu Dhabi: A Guide to Compliance") for sales teams to address client knowledge gaps faster during the sales cycle.</w:t>
      </w:r>
    </w:p>
    <w:bookmarkEnd w:id="26"/>
    <w:bookmarkStart w:id="27" w:name="conclusion"/>
    <w:p>
      <w:pPr>
        <w:pStyle w:val="Heading2"/>
      </w:pPr>
      <w:r>
        <w:t xml:space="preserve">Conclusion</w:t>
      </w:r>
    </w:p>
    <w:p>
      <w:pPr>
        <w:pStyle w:val="FirstParagraph"/>
      </w:pPr>
      <w:r>
        <w:t xml:space="preserve">The demand for expert Marine Engineer services within the United Arab Emirates Abu Dhabi market is robust and expanding, driven by strategic port development, ADNOC's energy infrastructure needs, and national sustainability goals. Our Q3 performance demonstrates significant traction in securing high-value contracts across key sectors. Success hinges on our ability to navigate Abu Dhabi's unique regulatory landscape, build local talent pipelines, and clearly articulate the ROI of proactive marine engineering solutions to clients who recognize the critical link between vessel/platform integrity and operational continuity in this vital maritime economy. Continued focus on these strategic pillars will cement our position as the premier Marine Engineer service provider within Abu Dhabi's dynamic marketplace.</w:t>
      </w:r>
    </w:p>
    <w:p>
      <w:pPr>
        <w:pStyle w:val="BodyText"/>
      </w:pPr>
      <w:r>
        <w:t xml:space="preserve">*This report covers sales performance and market analysis specific to the United Arab Emirates Abu Dhabi jurisdiction. All figures are based on internal sales data for services delivered or contracted within Abu Dhabi Emirate boundaries during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Performance Report - Abu Dhabi Market</dc:title>
  <dc:creator/>
  <dc:language>en</dc:language>
  <cp:keywords/>
  <dcterms:created xsi:type="dcterms:W3CDTF">2026-07-23T21:25:23Z</dcterms:created>
  <dcterms:modified xsi:type="dcterms:W3CDTF">2026-07-23T21:25:23Z</dcterms:modified>
</cp:coreProperties>
</file>

<file path=docProps/custom.xml><?xml version="1.0" encoding="utf-8"?>
<Properties xmlns="http://schemas.openxmlformats.org/officeDocument/2006/custom-properties" xmlns:vt="http://schemas.openxmlformats.org/officeDocument/2006/docPropsVTypes"/>
</file>