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United</w:t>
      </w:r>
      <w:r>
        <w:t xml:space="preserve"> </w:t>
      </w:r>
      <w:r>
        <w:t xml:space="preserve">States</w:t>
      </w:r>
      <w:r>
        <w:t xml:space="preserve"> </w:t>
      </w:r>
      <w:r>
        <w:t xml:space="preserve">Miami</w:t>
      </w:r>
      <w:r>
        <w:t xml:space="preserve"> </w:t>
      </w:r>
      <w:r>
        <w:t xml:space="preserve">Market</w:t>
      </w:r>
    </w:p>
    <w:bookmarkStart w:id="31" w:name="X6814777ce8f31c5a235c8cb869b1fba73d58964"/>
    <w:p>
      <w:pPr>
        <w:pStyle w:val="Heading1"/>
      </w:pPr>
      <w:r>
        <w:t xml:space="preserve">Marine Engineering Sales Performance Report: United States Miami Market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Global Marine Solutions Inc.</w:t>
      </w:r>
      <w:r>
        <w:br/>
      </w:r>
      <w:r>
        <w:rPr>
          <w:bCs/>
          <w:b/>
        </w:rPr>
        <w:t xml:space="preserve">Prepared By:</w:t>
      </w:r>
      <w:r>
        <w:t xml:space="preserve"> </w:t>
      </w:r>
      <w:r>
        <w:t xml:space="preserve">Sales Strategy Division - Miami Regional Office</w:t>
      </w:r>
    </w:p>
    <w:bookmarkStart w:id="20" w:name="i.-executive-summary"/>
    <w:p>
      <w:pPr>
        <w:pStyle w:val="Heading2"/>
      </w:pPr>
      <w:r>
        <w:t xml:space="preserve">I. Executive Summary</w:t>
      </w:r>
    </w:p>
    <w:p>
      <w:pPr>
        <w:pStyle w:val="FirstParagraph"/>
      </w:pPr>
      <w:r>
        <w:t xml:space="preserve">The United States Miami marine engineering sector has demonstrated exceptional growth potential, with our regional sales team achieving a 28% year-over-year increase in contract value during Q3 2023. This report details the strategic successes of our Marine Engineer service portfolio across South Florida's dynamic maritime ecosystem. As the gateway to the Americas, Miami continues to solidify its position as a critical hub for marine engineering innovation, driving unprecedented demand for specialized technical solutions that directly support vessel operations, port infrastructure development, and environmental compliance initiatives within the United States Miami market.</w:t>
      </w:r>
    </w:p>
    <w:bookmarkEnd w:id="20"/>
    <w:bookmarkStart w:id="21" w:name="ii.-market-context-why-miami-matters"/>
    <w:p>
      <w:pPr>
        <w:pStyle w:val="Heading2"/>
      </w:pPr>
      <w:r>
        <w:t xml:space="preserve">II. Market Context: Why Miami Matters</w:t>
      </w:r>
    </w:p>
    <w:p>
      <w:pPr>
        <w:pStyle w:val="FirstParagraph"/>
      </w:pPr>
      <w:r>
        <w:t xml:space="preserve">Miami's strategic location at the crossroads of the Atlantic Ocean and Caribbean Sea makes it indispensable to U.S. maritime commerce. The Port of Miami—officially designated as America's Cruise Capital—handled over 5 million passengers and 2.1 million TEUs (Twenty-foot Equivalent Units) in 2023 alone, creating massive opportunities for Marine Engineer services. With major investments in the $800M MiamiPort expansion project and burgeoning offshore wind energy infrastructure along Florida's coast, demand for certified Marine Engineers has surged by 35% compared to pre-pandemic levels. Our sales strategy specifically targets these growth vectors through customized engineering solutions tailored to Miami's unique environmental and operational challenges.</w:t>
      </w:r>
    </w:p>
    <w:bookmarkEnd w:id="21"/>
    <w:bookmarkStart w:id="24" w:name="iii.-sales-performance-highlights"/>
    <w:p>
      <w:pPr>
        <w:pStyle w:val="Heading2"/>
      </w:pPr>
      <w:r>
        <w:t xml:space="preserve">III. Sales Performance Highlights</w:t>
      </w:r>
    </w:p>
    <w:bookmarkStart w:id="22" w:name="a.-key-revenue-streams-q3-2023"/>
    <w:p>
      <w:pPr>
        <w:pStyle w:val="Heading3"/>
      </w:pPr>
      <w:r>
        <w:t xml:space="preserve">A. Key Revenue Streams (Q3 2023)</w:t>
      </w:r>
    </w:p>
    <w:p>
      <w:pPr>
        <w:numPr>
          <w:ilvl w:val="0"/>
          <w:numId w:val="1001"/>
        </w:numPr>
        <w:pStyle w:val="Compact"/>
      </w:pPr>
      <w:r>
        <w:rPr>
          <w:bCs/>
          <w:b/>
        </w:rPr>
        <w:t xml:space="preserve">Cruise Ship Refit Services:</w:t>
      </w:r>
      <w:r>
        <w:t xml:space="preserve"> </w:t>
      </w:r>
      <w:r>
        <w:t xml:space="preserve">$4.7M in contracts secured from Carnival Cruise Lines and Royal Caribbean, including propulsion system upgrades for three new LNG-powered vessels scheduled for Miami deployment.</w:t>
      </w:r>
    </w:p>
    <w:p>
      <w:pPr>
        <w:numPr>
          <w:ilvl w:val="0"/>
          <w:numId w:val="1001"/>
        </w:numPr>
        <w:pStyle w:val="Compact"/>
      </w:pPr>
      <w:r>
        <w:rPr>
          <w:bCs/>
          <w:b/>
        </w:rPr>
        <w:t xml:space="preserve">Port Infrastructure Engineering:</w:t>
      </w:r>
      <w:r>
        <w:t xml:space="preserve"> </w:t>
      </w:r>
      <w:r>
        <w:t xml:space="preserve">$2.9M contract with the PortMiami Authority for marine structural assessments of the new cruise terminal expansion, requiring specialized Marine Engineer expertise in coral reef protection protocols.</w:t>
      </w:r>
    </w:p>
    <w:p>
      <w:pPr>
        <w:numPr>
          <w:ilvl w:val="0"/>
          <w:numId w:val="1001"/>
        </w:numPr>
        <w:pStyle w:val="Compact"/>
      </w:pPr>
      <w:r>
        <w:rPr>
          <w:bCs/>
          <w:b/>
        </w:rPr>
        <w:t xml:space="preserve">Environmental Compliance Solutions:</w:t>
      </w:r>
      <w:r>
        <w:t xml:space="preserve"> </w:t>
      </w:r>
      <w:r>
        <w:t xml:space="preserve">$1.8M from yacht clubs and commercial fleets implementing U.S. Coast Guard-mandated ballast water treatment systems—directly leveraging our Marine Engineer-certified technical teams.</w:t>
      </w:r>
    </w:p>
    <w:bookmarkEnd w:id="22"/>
    <w:bookmarkStart w:id="23" w:name="b.-regional-sales-growth-metrics"/>
    <w:p>
      <w:pPr>
        <w:pStyle w:val="Heading3"/>
      </w:pPr>
      <w:r>
        <w:t xml:space="preserve">B. Regional Sales Growth Metrics</w:t>
      </w:r>
    </w:p>
    <w:p>
      <w:pPr>
        <w:pStyle w:val="FirstParagraph"/>
      </w:pPr>
      <w:r>
        <w:t xml:space="preserve">Segment</w:t>
      </w:r>
    </w:p>
    <w:p>
      <w:pPr>
        <w:pStyle w:val="BodyText"/>
      </w:pPr>
      <w:r>
        <w:t xml:space="preserve">Q2 2023 Revenue</w:t>
      </w:r>
    </w:p>
    <w:p>
      <w:pPr>
        <w:pStyle w:val="BodyText"/>
      </w:pPr>
      <w:r>
        <w:t xml:space="preserve">Q3 2023 Revenue</w:t>
      </w:r>
    </w:p>
    <w:p>
      <w:pPr>
        <w:pStyle w:val="BodyText"/>
      </w:pPr>
      <w:r>
        <w:t xml:space="preserve">% Growth</w:t>
      </w:r>
    </w:p>
    <w:p>
      <w:pPr>
        <w:pStyle w:val="BodyText"/>
      </w:pPr>
      <w:r>
        <w:t xml:space="preserve">Cruise Industry Engineering</w:t>
      </w:r>
    </w:p>
    <w:p>
      <w:pPr>
        <w:pStyle w:val="BodyText"/>
      </w:pPr>
      <w:r>
        <w:t xml:space="preserve">$3.1M</w:t>
      </w:r>
    </w:p>
    <w:p>
      <w:pPr>
        <w:pStyle w:val="BodyText"/>
      </w:pPr>
      <w:r>
        <w:t xml:space="preserve">$4.7M</w:t>
      </w:r>
    </w:p>
    <w:p>
      <w:pPr>
        <w:pStyle w:val="BodyText"/>
      </w:pPr>
      <w:r>
        <w:t xml:space="preserve">51.6%</w:t>
      </w:r>
    </w:p>
    <w:p>
      <w:pPr>
        <w:pStyle w:val="BodyText"/>
      </w:pPr>
      <w:r>
        <w:t xml:space="preserve">Commercial Vessel Maintenance</w:t>
      </w:r>
    </w:p>
    <w:p>
      <w:pPr>
        <w:pStyle w:val="BodyText"/>
      </w:pPr>
      <w:r>
        <w:t xml:space="preserve">$2.8M</w:t>
      </w:r>
    </w:p>
    <w:p>
      <w:pPr>
        <w:pStyle w:val="BodyText"/>
      </w:pPr>
      <w:r>
        <w:t xml:space="preserve">$3.4M</w:t>
      </w:r>
    </w:p>
    <w:p>
      <w:pPr>
        <w:pStyle w:val="BodyText"/>
      </w:pPr>
      <w:r>
        <w:t xml:space="preserve">+21.4%</w:t>
      </w:r>
    </w:p>
    <w:bookmarkEnd w:id="23"/>
    <w:bookmarkEnd w:id="24"/>
    <w:bookmarkStart w:id="25" w:name="X60a566922223e30db6fdcf7a4d1f5cca5b1848a"/>
    <w:p>
      <w:pPr>
        <w:pStyle w:val="Heading2"/>
      </w:pPr>
      <w:r>
        <w:t xml:space="preserve">IV. Marine Engineer: The Strategic Differentiator</w:t>
      </w:r>
    </w:p>
    <w:p>
      <w:pPr>
        <w:pStyle w:val="FirstParagraph"/>
      </w:pPr>
      <w:r>
        <w:t xml:space="preserve">Our competitive edge in the United States Miami market stems from our certified Marine Engineers' specialized expertise in three critical areas:</w:t>
      </w:r>
    </w:p>
    <w:p>
      <w:pPr>
        <w:numPr>
          <w:ilvl w:val="0"/>
          <w:numId w:val="1002"/>
        </w:numPr>
        <w:pStyle w:val="Compact"/>
      </w:pPr>
      <w:r>
        <w:rPr>
          <w:bCs/>
          <w:b/>
        </w:rPr>
        <w:t xml:space="preserve">Tropical Corrosion Mitigation:</w:t>
      </w:r>
      <w:r>
        <w:t xml:space="preserve"> </w:t>
      </w:r>
      <w:r>
        <w:t xml:space="preserve">Miami's high-humidity environment accelerates marine corrosion. Our engineers developed a proprietary coating system (patent pending) reducing maintenance cycles by 40%—a key selling point for shipyards like Austal USA.</w:t>
      </w:r>
    </w:p>
    <w:p>
      <w:pPr>
        <w:numPr>
          <w:ilvl w:val="0"/>
          <w:numId w:val="1002"/>
        </w:numPr>
        <w:pStyle w:val="Compact"/>
      </w:pPr>
      <w:r>
        <w:rPr>
          <w:bCs/>
          <w:b/>
        </w:rPr>
        <w:t xml:space="preserve">Regulatory Navigation:</w:t>
      </w:r>
      <w:r>
        <w:t xml:space="preserve"> </w:t>
      </w:r>
      <w:r>
        <w:t xml:space="preserve">Deep understanding of NOAA, USCG, and Miami-Dade County environmental codes ensures seamless compliance. This expertise closed a $1.2M contract with a luxury yacht charter operator facing EPA penalties.</w:t>
      </w:r>
    </w:p>
    <w:p>
      <w:pPr>
        <w:numPr>
          <w:ilvl w:val="0"/>
          <w:numId w:val="1002"/>
        </w:numPr>
        <w:pStyle w:val="Compact"/>
      </w:pPr>
      <w:r>
        <w:rPr>
          <w:bCs/>
          <w:b/>
        </w:rPr>
        <w:t xml:space="preserve">Crisis Response Readiness:</w:t>
      </w:r>
      <w:r>
        <w:t xml:space="preserve"> </w:t>
      </w:r>
      <w:r>
        <w:t xml:space="preserve">Following Hurricane Ian's impact on PortMiami infrastructure, our Marine Engineer rapid-response team secured emergency repairs for 12 vessels within 72 hours—significantly outpacing competitors.</w:t>
      </w:r>
    </w:p>
    <w:bookmarkEnd w:id="25"/>
    <w:bookmarkStart w:id="28" w:name="Xc3a62b7ef3257d6a998a5511ccfb3f670f70d67"/>
    <w:p>
      <w:pPr>
        <w:pStyle w:val="Heading2"/>
      </w:pPr>
      <w:r>
        <w:t xml:space="preserve">V. Miami-Specific Market Challenges &amp; Opportunities</w:t>
      </w:r>
    </w:p>
    <w:bookmarkStart w:id="26" w:name="a.-emerging-opportunities"/>
    <w:p>
      <w:pPr>
        <w:pStyle w:val="Heading3"/>
      </w:pPr>
      <w:r>
        <w:t xml:space="preserve">A. Emerging Opportunities</w:t>
      </w:r>
    </w:p>
    <w:p>
      <w:pPr>
        <w:numPr>
          <w:ilvl w:val="0"/>
          <w:numId w:val="1003"/>
        </w:numPr>
        <w:pStyle w:val="Compact"/>
      </w:pPr>
      <w:r>
        <w:rPr>
          <w:bCs/>
          <w:b/>
        </w:rPr>
        <w:t xml:space="preserve">Offshore Wind Development:</w:t>
      </w:r>
      <w:r>
        <w:t xml:space="preserve"> </w:t>
      </w:r>
      <w:r>
        <w:t xml:space="preserve">The U.S. Department of Energy's $20B investment in Atlantic Coast wind farms creates demand for Marine Engineers to design foundation systems and vessel support structures—Miami's proximity to project sites (e.g., Vineyard Wind) positions us for early contracts.</w:t>
      </w:r>
    </w:p>
    <w:p>
      <w:pPr>
        <w:numPr>
          <w:ilvl w:val="0"/>
          <w:numId w:val="1003"/>
        </w:numPr>
        <w:pStyle w:val="Compact"/>
      </w:pPr>
      <w:r>
        <w:rPr>
          <w:bCs/>
          <w:b/>
        </w:rPr>
        <w:t xml:space="preserve">Sustainable Fuel Transition:</w:t>
      </w:r>
      <w:r>
        <w:t xml:space="preserve"> </w:t>
      </w:r>
      <w:r>
        <w:t xml:space="preserve">With Miami requiring all new port facilities to use 100% renewable energy by 2030, our Marine Engineers are leading in ammonia and hydrogen fuel cell integration studies for commercial vessels.</w:t>
      </w:r>
    </w:p>
    <w:bookmarkEnd w:id="26"/>
    <w:bookmarkStart w:id="27" w:name="b.-key-challenges"/>
    <w:p>
      <w:pPr>
        <w:pStyle w:val="Heading3"/>
      </w:pPr>
      <w:r>
        <w:t xml:space="preserve">B. Key Challenges</w:t>
      </w:r>
    </w:p>
    <w:p>
      <w:pPr>
        <w:numPr>
          <w:ilvl w:val="0"/>
          <w:numId w:val="1004"/>
        </w:numPr>
        <w:pStyle w:val="Compact"/>
      </w:pPr>
      <w:r>
        <w:rPr>
          <w:bCs/>
          <w:b/>
        </w:rPr>
        <w:t xml:space="preserve">Talent Shortage:</w:t>
      </w:r>
      <w:r>
        <w:t xml:space="preserve"> </w:t>
      </w:r>
      <w:r>
        <w:t xml:space="preserve">Miami faces a 45% deficit in licensed Marine Engineers per PortMiami workforce reports. We're addressing this through partnerships with Florida International University's Marine Engineering program.</w:t>
      </w:r>
    </w:p>
    <w:p>
      <w:pPr>
        <w:numPr>
          <w:ilvl w:val="0"/>
          <w:numId w:val="1004"/>
        </w:numPr>
        <w:pStyle w:val="Compact"/>
      </w:pPr>
      <w:r>
        <w:rPr>
          <w:bCs/>
          <w:b/>
        </w:rPr>
        <w:t xml:space="preserve">Supply Chain Delays:</w:t>
      </w:r>
      <w:r>
        <w:t xml:space="preserve"> </w:t>
      </w:r>
      <w:r>
        <w:t xml:space="preserve">Global component shortages affected 18% of Q3 projects. Our regional inventory hub in Kendall, FL—established specifically for United States Miami operations—reduced lead times by 32%.</w:t>
      </w:r>
    </w:p>
    <w:bookmarkEnd w:id="27"/>
    <w:bookmarkEnd w:id="28"/>
    <w:bookmarkStart w:id="29" w:name="Xd073bce55c2ee2dbac5b628e2f45946ca360924"/>
    <w:p>
      <w:pPr>
        <w:pStyle w:val="Heading2"/>
      </w:pPr>
      <w:r>
        <w:t xml:space="preserve">VI. Strategic Recommendations for U.S. Miami Market Expansion</w:t>
      </w:r>
    </w:p>
    <w:p>
      <w:pPr>
        <w:numPr>
          <w:ilvl w:val="0"/>
          <w:numId w:val="1005"/>
        </w:numPr>
        <w:pStyle w:val="Compact"/>
      </w:pPr>
      <w:r>
        <w:rPr>
          <w:bCs/>
          <w:b/>
        </w:rPr>
        <w:t xml:space="preserve">Establish a Dedicated Marine Engineer Innovation Lab:</w:t>
      </w:r>
      <w:r>
        <w:t xml:space="preserve"> </w:t>
      </w:r>
      <w:r>
        <w:t xml:space="preserve">Allocate $500K to develop hurricane-resistant marine components at our Miami facility, targeting the $18B coastal resilience market.</w:t>
      </w:r>
    </w:p>
    <w:p>
      <w:pPr>
        <w:numPr>
          <w:ilvl w:val="0"/>
          <w:numId w:val="1005"/>
        </w:numPr>
        <w:pStyle w:val="Compact"/>
      </w:pPr>
      <w:r>
        <w:rPr>
          <w:bCs/>
          <w:b/>
        </w:rPr>
        <w:t xml:space="preserve">Expand Cruise Industry Partnerships:</w:t>
      </w:r>
      <w:r>
        <w:t xml:space="preserve"> </w:t>
      </w:r>
      <w:r>
        <w:t xml:space="preserve">Target 3 new major cruise line contracts by Q2 2024 through exclusive Marine Engineer service agreements for the port's new LNG refueling infrastructure.</w:t>
      </w:r>
    </w:p>
    <w:p>
      <w:pPr>
        <w:numPr>
          <w:ilvl w:val="0"/>
          <w:numId w:val="1005"/>
        </w:numPr>
        <w:pStyle w:val="Compact"/>
      </w:pPr>
      <w:r>
        <w:rPr>
          <w:bCs/>
          <w:b/>
        </w:rPr>
        <w:t xml:space="preserve">Leverage Miami's Trade Networks:</w:t>
      </w:r>
      <w:r>
        <w:t xml:space="preserve"> </w:t>
      </w:r>
      <w:r>
        <w:t xml:space="preserve">Join the U.S. Chamber of Commerce Miami Maritime Council to access government contracting pipelines for military vessel maintenance projects at Naval Support Activity PortMiami.</w:t>
      </w:r>
    </w:p>
    <w:bookmarkEnd w:id="29"/>
    <w:bookmarkStart w:id="30" w:name="vii.-conclusion"/>
    <w:p>
      <w:pPr>
        <w:pStyle w:val="Heading2"/>
      </w:pPr>
      <w:r>
        <w:t xml:space="preserve">VII. Conclusion</w:t>
      </w:r>
    </w:p>
    <w:p>
      <w:pPr>
        <w:pStyle w:val="FirstParagraph"/>
      </w:pPr>
      <w:r>
        <w:t xml:space="preserve">The United States Miami marine engineering sector is not merely growing—it's redefining industry standards through innovation driven by our certified Marine Engineers. With Miami's port throughput expected to increase 15% annually through 2026 and federal investments accelerating, the market opportunity for specialized Marine Engineer services has never been more compelling. Our Q3 sales performance validates this trajectory, with Miami now representing 37% of our total U.S. marine engineering revenue—up from 24% in Q3 2022. As we deepen relationships with PortMiami stakeholders and expand our local talent pipeline, the Marine Engineer will remain the cornerstone of our growth strategy in this critical United States market.</w:t>
      </w:r>
    </w:p>
    <w:p>
      <w:pPr>
        <w:pStyle w:val="BodyText"/>
      </w:pPr>
      <w:r>
        <w:rPr>
          <w:bCs/>
          <w:b/>
        </w:rPr>
        <w:t xml:space="preserve">Forward-Looking Target:</w:t>
      </w:r>
      <w:r>
        <w:t xml:space="preserve"> </w:t>
      </w:r>
      <w:r>
        <w:t xml:space="preserve">Achieve $15M in annual Marine Engineer services revenue from Miami by Q4 2024—representing a 78% compound annual growth rate (CAGR) since 2021.</w:t>
      </w:r>
    </w:p>
    <w:p>
      <w:pPr>
        <w:pStyle w:val="BodyText"/>
      </w:pPr>
      <w:r>
        <w:rPr>
          <w:iCs/>
          <w:i/>
        </w:rPr>
        <w:t xml:space="preserve">"In Miami, where the ocean meets opportunity, our Marine Engineers don't just solve problems—they engineer the future of maritime commerce."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Engineering Sales Performance Report: United States Miami Market</dc:title>
  <dc:creator/>
  <dc:language>en</dc:language>
  <cp:keywords/>
  <dcterms:created xsi:type="dcterms:W3CDTF">2026-06-02T23:36:19Z</dcterms:created>
  <dcterms:modified xsi:type="dcterms:W3CDTF">2026-06-02T23:36:19Z</dcterms:modified>
</cp:coreProperties>
</file>

<file path=docProps/custom.xml><?xml version="1.0" encoding="utf-8"?>
<Properties xmlns="http://schemas.openxmlformats.org/officeDocument/2006/custom-properties" xmlns:vt="http://schemas.openxmlformats.org/officeDocument/2006/docPropsVTypes"/>
</file>