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f810fab9bc07cef35c02266f37e6d075014ec46"/>
    <w:p>
      <w:pPr>
        <w:pStyle w:val="Heading1"/>
      </w:pPr>
      <w:r>
        <w:t xml:space="preserve">Marine Engineering Sales Report</w:t>
      </w:r>
      <w:r>
        <w:br/>
      </w:r>
      <w:r>
        <w:t xml:space="preserve">United States New York City Market Analysis</w:t>
      </w:r>
    </w:p>
    <w:p>
      <w:pPr>
        <w:pStyle w:val="FirstParagraph"/>
      </w:pPr>
      <w:r>
        <w:t xml:space="preserve">Prepared for Executive Leadership | Q3 2023 Quarterly Review</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and strategic positioning of marine engineering services across the United States New York City metropolitan area. As the nation's busiest port complex handling over 12% of U.S. maritime trade, New York City represents a critical market for marine engineering expertise. This report demonstrates that our company has achieved a 23% year-over-year revenue growth in Marine Engineer service contracts, significantly outperforming the industry average of 8%. The success stems from our specialized focus on navigating the unique regulatory landscape and operational demands of</w:t>
      </w:r>
      <w:r>
        <w:t xml:space="preserve"> </w:t>
      </w:r>
      <w:r>
        <w:rPr>
          <w:bCs/>
          <w:b/>
        </w:rPr>
        <w:t xml:space="preserve">United States New York City</w:t>
      </w:r>
      <w:r>
        <w:t xml:space="preserve">'s maritime infrastructure.</w:t>
      </w:r>
    </w:p>
    <w:bookmarkEnd w:id="20"/>
    <w:bookmarkStart w:id="21" w:name="X73595b36d6defa064177454b8c358dfd9454571"/>
    <w:p>
      <w:pPr>
        <w:pStyle w:val="Heading2"/>
      </w:pPr>
      <w:r>
        <w:t xml:space="preserve">Market Context: Why Marine Engineering Matters in NYC</w:t>
      </w:r>
    </w:p>
    <w:p>
      <w:pPr>
        <w:pStyle w:val="FirstParagraph"/>
      </w:pPr>
      <w:r>
        <w:t xml:space="preserve">With the Port of New York and New Jersey processing approximately 7.2 million TEUs annually—the third busiest container port in the U.S.—the role of a qualified</w:t>
      </w:r>
      <w:r>
        <w:t xml:space="preserve"> </w:t>
      </w:r>
      <w:r>
        <w:rPr>
          <w:bCs/>
          <w:b/>
        </w:rPr>
        <w:t xml:space="preserve">Marine Engineer</w:t>
      </w:r>
      <w:r>
        <w:t xml:space="preserve"> </w:t>
      </w:r>
      <w:r>
        <w:t xml:space="preserve">has become indispensable. The complex ecosystem includes 1,500+ vessels transiting daily through the Hudson River and Newark Bay, requiring specialized engineering solutions for vessel maintenance, cargo handling systems, and environmental compliance. In</w:t>
      </w:r>
      <w:r>
        <w:t xml:space="preserve"> </w:t>
      </w:r>
      <w:r>
        <w:rPr>
          <w:bCs/>
          <w:b/>
        </w:rPr>
        <w:t xml:space="preserve">United States New York City</w:t>
      </w:r>
      <w:r>
        <w:t xml:space="preserve">, marine engineers must navigate stringent EPA regulations under the Clean Water Act while simultaneously addressing aging infrastructure challenges at facilities like Brooklyn's Red Hook Container Terminal. This unique market demands not just technical proficiency but deep local knowledge of NYC-specific operational constraints.</w:t>
      </w:r>
    </w:p>
    <w:bookmarkEnd w:id="21"/>
    <w:bookmarkStart w:id="23" w:name="q3-sales-performance-highlights"/>
    <w:p>
      <w:pPr>
        <w:pStyle w:val="Heading2"/>
      </w:pPr>
      <w:r>
        <w:t xml:space="preserve">Q3 Sales Performance Highlights</w:t>
      </w:r>
    </w:p>
    <w:bookmarkStart w:id="22" w:name="revenue-growth-by-service-category"/>
    <w:p>
      <w:pPr>
        <w:pStyle w:val="Heading3"/>
      </w:pPr>
      <w:r>
        <w:t xml:space="preserve">Revenue Growth by Service Category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Q3 Revenue (USD)</w:t>
            </w:r>
          </w:p>
        </w:tc>
        <w:tc>
          <w:tcPr/>
          <w:p>
            <w:pPr>
              <w:pStyle w:val="Compact"/>
              <w:jc w:val="left"/>
            </w:pPr>
            <w:r>
              <w:t xml:space="preserve">YoY Growth</w:t>
            </w:r>
          </w:p>
        </w:tc>
      </w:tr>
      <w:tr>
        <w:tc>
          <w:tcPr/>
          <w:p>
            <w:pPr>
              <w:pStyle w:val="Compact"/>
              <w:jc w:val="left"/>
            </w:pPr>
            <w:r>
              <w:t xml:space="preserve">Vessel Propulsion System Optimization</w:t>
            </w:r>
          </w:p>
        </w:tc>
        <w:tc>
          <w:tcPr/>
          <w:p>
            <w:pPr>
              <w:pStyle w:val="Compact"/>
              <w:jc w:val="left"/>
            </w:pPr>
            <w:r>
              <w:t xml:space="preserve">$1,250,000</w:t>
            </w:r>
          </w:p>
        </w:tc>
        <w:tc>
          <w:tcPr/>
          <w:p>
            <w:pPr>
              <w:pStyle w:val="Compact"/>
              <w:jc w:val="left"/>
            </w:pPr>
            <w:r>
              <w:t xml:space="preserve">32%</w:t>
            </w:r>
          </w:p>
        </w:tc>
      </w:tr>
      <w:tr>
        <w:tc>
          <w:tcPr/>
          <w:p>
            <w:pPr>
              <w:pStyle w:val="Compact"/>
              <w:jc w:val="left"/>
            </w:pPr>
            <w:r>
              <w:t xml:space="preserve">Port Infrastructure Compliance Solutions</w:t>
            </w:r>
          </w:p>
        </w:tc>
        <w:tc>
          <w:tcPr/>
          <w:p>
            <w:pPr>
              <w:pStyle w:val="Compact"/>
              <w:jc w:val="left"/>
            </w:pPr>
            <w:r>
              <w:t xml:space="preserve">$925,000</w:t>
            </w:r>
          </w:p>
        </w:tc>
        <w:tc>
          <w:tcPr/>
          <w:p>
            <w:pPr>
              <w:pStyle w:val="Compact"/>
              <w:jc w:val="left"/>
            </w:pPr>
            <w:r>
              <w:t xml:space="preserve">19%</w:t>
            </w:r>
          </w:p>
        </w:tc>
      </w:tr>
      <w:tr>
        <w:tc>
          <w:tcPr/>
          <w:p>
            <w:pPr>
              <w:pStyle w:val="Compact"/>
              <w:jc w:val="left"/>
            </w:pPr>
            <w:r>
              <w:t xml:space="preserve">Environmental Systems Engineering</w:t>
            </w:r>
          </w:p>
        </w:tc>
        <w:tc>
          <w:tcPr/>
          <w:p>
            <w:pPr>
              <w:pStyle w:val="Compact"/>
              <w:jc w:val="left"/>
            </w:pPr>
            <w:r>
              <w:t xml:space="preserve">$760,000</w:t>
            </w:r>
          </w:p>
        </w:tc>
        <w:tc>
          <w:tcPr/>
          <w:p>
            <w:pPr>
              <w:pStyle w:val="Compact"/>
              <w:jc w:val="left"/>
            </w:pPr>
            <w:r>
              <w:t xml:space="preserve">27%</w:t>
            </w:r>
          </w:p>
        </w:tc>
      </w:tr>
      <w:tr>
        <w:tc>
          <w:tcPr/>
          <w:p>
            <w:pPr>
              <w:pStyle w:val="Compact"/>
              <w:jc w:val="left"/>
            </w:pPr>
            <w:r>
              <w:t xml:space="preserve">Emergency Vessel Repair Services</w:t>
            </w:r>
          </w:p>
        </w:tc>
        <w:tc>
          <w:tcPr/>
          <w:p>
            <w:pPr>
              <w:pStyle w:val="Compact"/>
              <w:jc w:val="left"/>
            </w:pPr>
            <w:r>
              <w:t xml:space="preserve">$545,000</w:t>
            </w:r>
          </w:p>
        </w:tc>
        <w:tc>
          <w:tcPr/>
          <w:p>
            <w:pPr>
              <w:pStyle w:val="Compact"/>
              <w:jc w:val="left"/>
            </w:pPr>
            <w:r>
              <w:t xml:space="preserve">39%</w:t>
            </w:r>
          </w:p>
        </w:tc>
      </w:tr>
    </w:tbl>
    <w:p>
      <w:pPr>
        <w:pStyle w:val="BodyText"/>
      </w:pPr>
      <w:r>
        <w:t xml:space="preserve">The most significant growth driver was our Emergency Vessel Repair Services division, fueled by the seasonal increase in cruise ship traffic and the urgent need for compliance with NYC's newly implemented Tier III emission standards. Our team of certified</w:t>
      </w:r>
      <w:r>
        <w:t xml:space="preserve"> </w:t>
      </w:r>
      <w:r>
        <w:rPr>
          <w:bCs/>
          <w:b/>
        </w:rPr>
        <w:t xml:space="preserve">Marine Engineer</w:t>
      </w:r>
      <w:r>
        <w:t xml:space="preserve">s completed 148 emergency interventions across Brooklyn, Queens, and Manhattan waterways during Q3—a 57% increase from Q2.</w:t>
      </w:r>
    </w:p>
    <w:bookmarkEnd w:id="22"/>
    <w:bookmarkEnd w:id="23"/>
    <w:bookmarkStart w:id="25" w:name="X068e4c7ac958e626532933579a84d1d9ab4bebf"/>
    <w:p>
      <w:pPr>
        <w:pStyle w:val="Heading2"/>
      </w:pPr>
      <w:r>
        <w:t xml:space="preserve">Strategic Client Acquisition in United States New York City</w:t>
      </w:r>
    </w:p>
    <w:bookmarkStart w:id="24" w:name="key-accounts-secured"/>
    <w:p>
      <w:pPr>
        <w:pStyle w:val="Heading3"/>
      </w:pPr>
      <w:r>
        <w:t xml:space="preserve">Key Accounts Secured</w:t>
      </w:r>
    </w:p>
    <w:p>
      <w:pPr>
        <w:numPr>
          <w:ilvl w:val="0"/>
          <w:numId w:val="1001"/>
        </w:numPr>
        <w:pStyle w:val="Compact"/>
      </w:pPr>
      <w:r>
        <w:rPr>
          <w:bCs/>
          <w:b/>
        </w:rPr>
        <w:t xml:space="preserve">Port Authority of New York and New Jersey:</w:t>
      </w:r>
      <w:r>
        <w:t xml:space="preserve"> </w:t>
      </w:r>
      <w:r>
        <w:t xml:space="preserve">$2.1M contract for integrated environmental monitoring systems across all three major terminals (Elizabeth, Brooklyn, Staten Island), directly supporting NYC's commitment to carbon neutrality by 2050.</w:t>
      </w:r>
    </w:p>
    <w:p>
      <w:pPr>
        <w:numPr>
          <w:ilvl w:val="0"/>
          <w:numId w:val="1001"/>
        </w:numPr>
        <w:pStyle w:val="Compact"/>
      </w:pPr>
      <w:r>
        <w:rPr>
          <w:bCs/>
          <w:b/>
        </w:rPr>
        <w:t xml:space="preserve">Carnival Cruise Line (NYC Homeport):</w:t>
      </w:r>
      <w:r>
        <w:t xml:space="preserve"> </w:t>
      </w:r>
      <w:r>
        <w:t xml:space="preserve">$875,000 agreement for propulsion system retrofits on four vessels undergoing maintenance at the Manhattan Cruise Terminal—reducing NOx emissions by 41% per vessel.</w:t>
      </w:r>
    </w:p>
    <w:p>
      <w:pPr>
        <w:numPr>
          <w:ilvl w:val="0"/>
          <w:numId w:val="1001"/>
        </w:numPr>
        <w:pStyle w:val="Compact"/>
      </w:pPr>
      <w:r>
        <w:rPr>
          <w:bCs/>
          <w:b/>
        </w:rPr>
        <w:t xml:space="preserve">Colony Iron Works:</w:t>
      </w:r>
      <w:r>
        <w:t xml:space="preserve"> </w:t>
      </w:r>
      <w:r>
        <w:t xml:space="preserve">$630,000 contract to modernize marine machinery systems at their Red Hook shipyard, positioning them as a premier repair hub for NYC's growing offshore wind sector.</w:t>
      </w:r>
    </w:p>
    <w:p>
      <w:pPr>
        <w:pStyle w:val="FirstParagraph"/>
      </w:pPr>
      <w:r>
        <w:t xml:space="preserve">The acquisition of the Port Authority account exemplifies our strategic advantage in</w:t>
      </w:r>
      <w:r>
        <w:t xml:space="preserve"> </w:t>
      </w:r>
      <w:r>
        <w:rPr>
          <w:bCs/>
          <w:b/>
        </w:rPr>
        <w:t xml:space="preserve">United States New York City</w:t>
      </w:r>
      <w:r>
        <w:t xml:space="preserve">. Unlike national competitors, our Marine Engineers possess specialized knowledge of NYC's unique tidal patterns, congestion management protocols, and the complex permitting process through the U.S. Coast Guard's New York Sector. This local expertise reduced project implementation time by 34% compared to out-of-town firms.</w:t>
      </w:r>
    </w:p>
    <w:bookmarkEnd w:id="24"/>
    <w:bookmarkEnd w:id="25"/>
    <w:bookmarkStart w:id="26" w:name="competitive-landscape-analysis"/>
    <w:p>
      <w:pPr>
        <w:pStyle w:val="Heading2"/>
      </w:pPr>
      <w:r>
        <w:t xml:space="preserve">Competitive Landscape Analysis</w:t>
      </w:r>
    </w:p>
    <w:p>
      <w:pPr>
        <w:pStyle w:val="FirstParagraph"/>
      </w:pPr>
      <w:r>
        <w:t xml:space="preserve">While the marine engineering market in New York City is highly competitive with over 47 firms operating regionally, our differentiation centers on three NYC-specific strengths:</w:t>
      </w:r>
    </w:p>
    <w:p>
      <w:pPr>
        <w:numPr>
          <w:ilvl w:val="0"/>
          <w:numId w:val="1002"/>
        </w:numPr>
        <w:pStyle w:val="Compact"/>
      </w:pPr>
      <w:r>
        <w:rPr>
          <w:bCs/>
          <w:b/>
        </w:rPr>
        <w:t xml:space="preserve">Regulatory Navigation Expertise:</w:t>
      </w:r>
      <w:r>
        <w:t xml:space="preserve"> </w:t>
      </w:r>
      <w:r>
        <w:t xml:space="preserve">Our Marine Engineers maintain active relationships with the New York State Department of Environmental Conservation (NYSDEC) and U.S. Coast Guard, allowing us to anticipate compliance changes that impact sales cycles.</w:t>
      </w:r>
    </w:p>
    <w:p>
      <w:pPr>
        <w:numPr>
          <w:ilvl w:val="0"/>
          <w:numId w:val="1002"/>
        </w:numPr>
        <w:pStyle w:val="Compact"/>
      </w:pPr>
      <w:r>
        <w:rPr>
          <w:bCs/>
          <w:b/>
        </w:rPr>
        <w:t xml:space="preserve">Infrastructure Integration:</w:t>
      </w:r>
      <w:r>
        <w:t xml:space="preserve"> </w:t>
      </w:r>
      <w:r>
        <w:t xml:space="preserve">We've developed proprietary software mapping NYC's submerged infrastructure (pipelines, cables, and historic shipwrecks), reducing project risk by 28% during vessel maneuvering operations.</w:t>
      </w:r>
    </w:p>
    <w:p>
      <w:pPr>
        <w:numPr>
          <w:ilvl w:val="0"/>
          <w:numId w:val="1002"/>
        </w:numPr>
        <w:pStyle w:val="Compact"/>
      </w:pPr>
      <w:r>
        <w:rPr>
          <w:bCs/>
          <w:b/>
        </w:rPr>
        <w:t xml:space="preserve">Crisis Response Capability:</w:t>
      </w:r>
      <w:r>
        <w:t xml:space="preserve"> </w:t>
      </w:r>
      <w:r>
        <w:t xml:space="preserve">Following Hurricane Sandy, our rapid deployment teams became the preferred vendor for emergency marine systems restoration across Brooklyn Navy Yard facilities—a relationship that continues to drive recurring revenue.</w:t>
      </w:r>
    </w:p>
    <w:bookmarkEnd w:id="26"/>
    <w:bookmarkStart w:id="27" w:name="future-outlook-strategic-recommendations"/>
    <w:p>
      <w:pPr>
        <w:pStyle w:val="Heading2"/>
      </w:pPr>
      <w:r>
        <w:t xml:space="preserve">Future Outlook &amp; Strategic Recommendations</w:t>
      </w:r>
    </w:p>
    <w:p>
      <w:pPr>
        <w:pStyle w:val="FirstParagraph"/>
      </w:pPr>
      <w:r>
        <w:t xml:space="preserve">Looking ahead to Q4, we project a 31% revenue increase driven by two major opportunities in</w:t>
      </w:r>
      <w:r>
        <w:t xml:space="preserve"> </w:t>
      </w:r>
      <w:r>
        <w:rPr>
          <w:bCs/>
          <w:b/>
        </w:rPr>
        <w:t xml:space="preserve">United States New York City</w:t>
      </w:r>
      <w:r>
        <w:t xml:space="preserve">:</w:t>
      </w:r>
    </w:p>
    <w:p>
      <w:pPr>
        <w:numPr>
          <w:ilvl w:val="0"/>
          <w:numId w:val="1003"/>
        </w:numPr>
        <w:pStyle w:val="Compact"/>
      </w:pPr>
      <w:r>
        <w:rPr>
          <w:bCs/>
          <w:b/>
        </w:rPr>
        <w:t xml:space="preserve">Offshore Wind Farm Expansion:</w:t>
      </w:r>
      <w:r>
        <w:t xml:space="preserve"> </w:t>
      </w:r>
      <w:r>
        <w:t xml:space="preserve">Partnering with Empire Wind and Sunrise Wind projects to engineer maintenance systems for vessel operations in Long Island Sound—estimated $4.7M in new contract opportunities.</w:t>
      </w:r>
    </w:p>
    <w:p>
      <w:pPr>
        <w:numPr>
          <w:ilvl w:val="0"/>
          <w:numId w:val="1003"/>
        </w:numPr>
        <w:pStyle w:val="Compact"/>
      </w:pPr>
      <w:r>
        <w:rPr>
          <w:bCs/>
          <w:b/>
        </w:rPr>
        <w:t xml:space="preserve">NYC Ferry System Modernization:</w:t>
      </w:r>
      <w:r>
        <w:t xml:space="preserve"> </w:t>
      </w:r>
      <w:r>
        <w:t xml:space="preserve">Proposing integrated marine engineering solutions for the city's expanding ferry network, which requires specialized expertise in high-frequency urban waterway operations.</w:t>
      </w:r>
    </w:p>
    <w:p>
      <w:pPr>
        <w:pStyle w:val="FirstParagraph"/>
      </w:pPr>
      <w:r>
        <w:t xml:space="preserve">To capitalize on these opportunities, we recommend:</w:t>
      </w:r>
    </w:p>
    <w:p>
      <w:pPr>
        <w:numPr>
          <w:ilvl w:val="0"/>
          <w:numId w:val="1004"/>
        </w:numPr>
        <w:pStyle w:val="Compact"/>
      </w:pPr>
      <w:r>
        <w:t xml:space="preserve">Establishing a dedicated NYC Marine Engineering Center of Excellence at our Brooklyn facility to deepen local market knowledge.</w:t>
      </w:r>
    </w:p>
    <w:p>
      <w:pPr>
        <w:numPr>
          <w:ilvl w:val="0"/>
          <w:numId w:val="1004"/>
        </w:numPr>
        <w:pStyle w:val="Compact"/>
      </w:pPr>
      <w:r>
        <w:t xml:space="preserve">Developing specialized certification programs for our engineers focused exclusively on New York State maritime regulations.</w:t>
      </w:r>
    </w:p>
    <w:p>
      <w:pPr>
        <w:numPr>
          <w:ilvl w:val="0"/>
          <w:numId w:val="1004"/>
        </w:numPr>
        <w:pStyle w:val="Compact"/>
      </w:pPr>
      <w:r>
        <w:t xml:space="preserve">Creating a predictive maintenance subscription model tailored for NYC's dense port operations—addressing the 78% of clients who cite unplanned downtime as their top concern.</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unequivocally demonstrates that the strategic focus on delivering exceptional Marine Engineering services within the unique ecosystem of</w:t>
      </w:r>
      <w:r>
        <w:t xml:space="preserve"> </w:t>
      </w:r>
      <w:r>
        <w:rPr>
          <w:bCs/>
          <w:b/>
        </w:rPr>
        <w:t xml:space="preserve">United States New York City</w:t>
      </w:r>
      <w:r>
        <w:t xml:space="preserve"> </w:t>
      </w:r>
      <w:r>
        <w:t xml:space="preserve">is yielding significant competitive advantages. Our 23% revenue growth, coupled with our leadership in high-value contracts like those with Port Authority and Carnival Cruise Lines, validates our market approach. As NYC continues to position itself as a global maritime leader through initiatives like the Clean Ports Action Plan, the demand for specialized Marine Engineer expertise will only intensify. We project this market segment could grow by 15-18% annually through 2025—making it essential that our team remains at the forefront of engineering solutions tailored to New York's waterways.</w:t>
      </w:r>
    </w:p>
    <w:p>
      <w:pPr>
        <w:pStyle w:val="BodyText"/>
      </w:pPr>
      <w:r>
        <w:t xml:space="preserve">Prepared by: Strategic Sales Intelligence Division</w:t>
      </w:r>
      <w:r>
        <w:br/>
      </w:r>
      <w:r>
        <w:t xml:space="preserve">Marine Engineering Solutions Group | United States New York City</w:t>
      </w:r>
    </w:p>
    <w:p>
      <w:pPr>
        <w:pStyle w:val="BodyText"/>
      </w:pPr>
      <w:r>
        <w:t xml:space="preserve">This document contains proprietary information intended solely for internal executive review.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United States New York City</dc:title>
  <dc:creator/>
  <dc:language>en</dc:language>
  <cp:keywords/>
  <dcterms:created xsi:type="dcterms:W3CDTF">2025-12-15T22:20:43Z</dcterms:created>
  <dcterms:modified xsi:type="dcterms:W3CDTF">2025-12-15T22:20:43Z</dcterms:modified>
</cp:coreProperties>
</file>

<file path=docProps/custom.xml><?xml version="1.0" encoding="utf-8"?>
<Properties xmlns="http://schemas.openxmlformats.org/officeDocument/2006/custom-properties" xmlns:vt="http://schemas.openxmlformats.org/officeDocument/2006/docPropsVTypes"/>
</file>