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Belgium</w:t>
      </w:r>
      <w:r>
        <w:t xml:space="preserve"> </w:t>
      </w:r>
      <w:r>
        <w:t xml:space="preserve">Brussels</w:t>
      </w:r>
    </w:p>
    <w:bookmarkStart w:id="30" w:name="X79e149994460cd5083794504586a0db364f2815"/>
    <w:p>
      <w:pPr>
        <w:pStyle w:val="Heading1"/>
      </w:pPr>
      <w:r>
        <w:t xml:space="preserve">Q3 2023 Sales Performance Report &amp; Strategic Analysis</w:t>
      </w:r>
    </w:p>
    <w:p>
      <w:pPr>
        <w:pStyle w:val="FirstParagraph"/>
      </w:pPr>
      <w:r>
        <w:rPr>
          <w:bCs/>
          <w:b/>
        </w:rPr>
        <w:t xml:space="preserve">Prepared for:</w:t>
      </w:r>
      <w:r>
        <w:t xml:space="preserve"> </w:t>
      </w:r>
      <w:r>
        <w:t xml:space="preserve">Executive Leadership Team</w:t>
      </w:r>
      <w:r>
        <w:br/>
      </w:r>
      <w:r>
        <w:rPr>
          <w:bCs/>
          <w:b/>
        </w:rPr>
        <w:t xml:space="preserve">Reporting Period:</w:t>
      </w:r>
      <w:r>
        <w:t xml:space="preserve"> </w:t>
      </w:r>
      <w:r>
        <w:t xml:space="preserve">July 1 - September 30, 2023</w:t>
      </w:r>
      <w:r>
        <w:br/>
      </w:r>
      <w:r>
        <w:rPr>
          <w:bCs/>
          <w:b/>
        </w:rPr>
        <w:t xml:space="preserve">Prepared By:</w:t>
      </w:r>
      <w:r>
        <w:t xml:space="preserve"> </w:t>
      </w:r>
      <w:r>
        <w:t xml:space="preserve">Marketing Manager, Belgium Brussels Office</w:t>
      </w:r>
      <w:r>
        <w:br/>
      </w:r>
      <w:r>
        <w:rPr>
          <w:bCs/>
          <w:b/>
        </w:rPr>
        <w:t xml:space="preserve">Date:</w:t>
      </w:r>
      <w:r>
        <w:t xml:space="preserve"> </w:t>
      </w:r>
      <w:r>
        <w:t xml:space="preserve">October 15, 2023</w:t>
      </w:r>
    </w:p>
    <w:bookmarkStart w:id="20" w:name="X61008d3dff31079ef194db01692e8b7fb93fc2b"/>
    <w:p>
      <w:pPr>
        <w:pStyle w:val="Heading2"/>
      </w:pPr>
      <w:r>
        <w:t xml:space="preserve">I. Executive Summary: Driving Growth in the Brussels Market</w:t>
      </w:r>
    </w:p>
    <w:p>
      <w:pPr>
        <w:pStyle w:val="FirstParagraph"/>
      </w:pPr>
      <w:r>
        <w:t xml:space="preserve">This comprehensive Sales Report details the Q3 performance of our operations under the strategic leadership of our Marketing Manager in Belgium Brussels. The region delivered a remarkable 18.7% year-over-year sales growth, significantly outperforming both national averages and regional benchmarks. This achievement underscores the exceptional market positioning executed by our Marketing Manager, who successfully navigated complex regulatory landscapes while capitalizing on emerging opportunities within the vibrant Brussels ecosystem. The Sales Report confirms that our marketing initiatives have directly contributed to a 23% increase in customer acquisition rates and a 15% improvement in average transaction value across key product lines.</w:t>
      </w:r>
    </w:p>
    <w:bookmarkEnd w:id="20"/>
    <w:bookmarkStart w:id="21" w:name="Xa1e517f28e2f0c771d8749181d59f68e0fe594d"/>
    <w:p>
      <w:pPr>
        <w:pStyle w:val="Heading2"/>
      </w:pPr>
      <w:r>
        <w:t xml:space="preserve">II. Regional Performance Overview: Belgium Brussels Market Dynamics</w:t>
      </w:r>
    </w:p>
    <w:p>
      <w:pPr>
        <w:pStyle w:val="FirstParagraph"/>
      </w:pPr>
      <w:r>
        <w:t xml:space="preserve">The Belgium Brussels market remains the most dynamic hub for our European operations, accounting for 34% of all Benelux sales and representing a critical growth corridor. This Sales Report highlights that our Marketing Manager implemented region-specific strategies that resonated with the unique cultural and business environment of Brussels – a city where multinational corporations, EU institutions, and local enterprises converge. The data reveals:</w:t>
      </w:r>
    </w:p>
    <w:p>
      <w:pPr>
        <w:pStyle w:val="BodyText"/>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1,875,400</w:t>
      </w:r>
    </w:p>
    <w:p>
      <w:pPr>
        <w:pStyle w:val="BodyText"/>
      </w:pPr>
      <w:r>
        <w:t xml:space="preserve">1,580,300</w:t>
      </w:r>
    </w:p>
    <w:p>
      <w:pPr>
        <w:pStyle w:val="BodyText"/>
      </w:pPr>
      <w:r>
        <w:t xml:space="preserve">+18.7%</w:t>
      </w:r>
    </w:p>
    <w:p>
      <w:pPr>
        <w:pStyle w:val="BodyText"/>
      </w:pPr>
      <w:r>
        <w:t xml:space="preserve">New Customer Acquisition</w:t>
      </w:r>
    </w:p>
    <w:p>
      <w:pPr>
        <w:pStyle w:val="BodyText"/>
      </w:pPr>
      <w:r>
        <w:t xml:space="preserve">247</w:t>
      </w:r>
    </w:p>
    <w:p>
      <w:pPr>
        <w:pStyle w:val="BodyText"/>
      </w:pPr>
      <w:r>
        <w:t xml:space="preserve">202</w:t>
      </w:r>
    </w:p>
    <w:p>
      <w:pPr>
        <w:pStyle w:val="BodyText"/>
      </w:pPr>
      <w:r>
        <w:t xml:space="preserve">+22.3%</w:t>
      </w:r>
    </w:p>
    <w:p>
      <w:pPr>
        <w:pStyle w:val="BodyText"/>
      </w:pPr>
      <w:r>
        <w:t xml:space="preserve">CAC (Customer Acquisition Cost)</w:t>
      </w:r>
    </w:p>
    <w:p>
      <w:pPr>
        <w:pStyle w:val="BodyText"/>
      </w:pPr>
      <w:r>
        <w:t xml:space="preserve">€1,850€1,980+6.7%*</w:t>
      </w:r>
    </w:p>
    <w:p>
      <w:pPr>
        <w:pStyle w:val="BodyText"/>
      </w:pPr>
      <w:r>
        <w:t xml:space="preserve">Market Share (Segment)</w:t>
      </w:r>
    </w:p>
    <w:p>
      <w:pPr>
        <w:pStyle w:val="BodyText"/>
      </w:pPr>
      <w:r>
        <w:t xml:space="preserve">29.4%</w:t>
      </w:r>
    </w:p>
    <w:p>
      <w:pPr>
        <w:pStyle w:val="BodyText"/>
      </w:pPr>
      <w:r>
        <w:t xml:space="preserve">26.1%</w:t>
      </w:r>
    </w:p>
    <w:p>
      <w:pPr>
        <w:pStyle w:val="BodyText"/>
      </w:pPr>
      <w:r>
        <w:t xml:space="preserve">+3.3 pts</w:t>
      </w:r>
    </w:p>
    <w:p>
      <w:pPr>
        <w:pStyle w:val="BodyText"/>
      </w:pPr>
      <w:r>
        <w:rPr>
          <w:bCs/>
          <w:b/>
        </w:rPr>
        <w:t xml:space="preserve">The Marketing Manager's Strategic Pivot:</w:t>
      </w:r>
      <w:r>
        <w:t xml:space="preserve"> </w:t>
      </w:r>
      <w:r>
        <w:t xml:space="preserve">In Q3, our Belgium Brussels Marketing Manager executed a targeted repositioning of our flagship product line to align with EU sustainability regulations (CSRD compliance). This initiative directly contributed to winning 8 new enterprise contracts from Brussels-based multinational headquarters – demonstrating how strategic market understanding drives revenue growth. The Sales Report confirms that 67% of Q3 revenue originated from these high-value clients, a testament to the Marketing Manager's ability to leverage Brussels' unique business environment.</w:t>
      </w:r>
    </w:p>
    <w:bookmarkEnd w:id="21"/>
    <w:bookmarkStart w:id="25" w:name="X7192408954dbcd35e82263b8a613a4810c5eff7"/>
    <w:p>
      <w:pPr>
        <w:pStyle w:val="Heading2"/>
      </w:pPr>
      <w:r>
        <w:t xml:space="preserve">III. Marketing Manager's Impact: Data-Driven Growth Initiatives</w:t>
      </w:r>
    </w:p>
    <w:p>
      <w:pPr>
        <w:pStyle w:val="FirstParagraph"/>
      </w:pPr>
      <w:r>
        <w:t xml:space="preserve">The following initiatives led by our Belgium Brussels Marketing Manager directly fueled the sales performance documented in this Sales Report:</w:t>
      </w:r>
    </w:p>
    <w:bookmarkStart w:id="22" w:name="a.-eu-regulatory-alignment-campaign"/>
    <w:p>
      <w:pPr>
        <w:pStyle w:val="Heading3"/>
      </w:pPr>
      <w:r>
        <w:t xml:space="preserve">A. EU Regulatory Alignment Campaign</w:t>
      </w:r>
    </w:p>
    <w:p>
      <w:pPr>
        <w:pStyle w:val="FirstParagraph"/>
      </w:pPr>
      <w:r>
        <w:t xml:space="preserve">Anticipating the new Corporate Sustainability Reporting Directive (CSRD), our Marketing Manager developed a specialized campaign targeting Brussels-based corporate clients. This included creating bilingual (French/Dutch) compliance guides and hosting exclusive EU policy briefings at the European Parliament's business center. Result: 12 enterprise contracts secured, representing €410K in committed revenue – accounting for 22% of total Q3 sales.</w:t>
      </w:r>
    </w:p>
    <w:bookmarkEnd w:id="22"/>
    <w:bookmarkStart w:id="23" w:name="b.-localized-digital-transformation"/>
    <w:p>
      <w:pPr>
        <w:pStyle w:val="Heading3"/>
      </w:pPr>
      <w:r>
        <w:t xml:space="preserve">B. Localized Digital Transformation</w:t>
      </w:r>
    </w:p>
    <w:p>
      <w:pPr>
        <w:pStyle w:val="FirstParagraph"/>
      </w:pPr>
      <w:r>
        <w:t xml:space="preserve">Recognizing that Brussels consumers prefer data-driven engagement, the Marketing Manager overhauled our digital funnel with localized content optimized for Belgian search patterns. This included adapting Google Ads strategy to target Flemish/Dutch keywords and launching a WhatsApp Business channel for real-time customer support. Impact: 37% reduction in bounce rate and 41% higher conversion rate from digital channels.</w:t>
      </w:r>
    </w:p>
    <w:bookmarkEnd w:id="23"/>
    <w:bookmarkStart w:id="24" w:name="c.-strategic-partnership-development"/>
    <w:p>
      <w:pPr>
        <w:pStyle w:val="Heading3"/>
      </w:pPr>
      <w:r>
        <w:t xml:space="preserve">C. Strategic Partnership Development</w:t>
      </w:r>
    </w:p>
    <w:p>
      <w:pPr>
        <w:pStyle w:val="FirstParagraph"/>
      </w:pPr>
      <w:r>
        <w:t xml:space="preserve">Our Marketing Manager forged key partnerships with Brussels-based business associations (Brussels Region Business Development) and university innovation hubs. These collaborations facilitated access to exclusive corporate procurement channels, resulting in 5 new distribution agreements within the first quarter of partnership execution – directly boosting sales velocity by 19%.</w:t>
      </w:r>
    </w:p>
    <w:bookmarkEnd w:id="24"/>
    <w:bookmarkEnd w:id="25"/>
    <w:bookmarkStart w:id="26" w:name="X50b23ce3a574f05ceabd317059dabebc0a6985f"/>
    <w:p>
      <w:pPr>
        <w:pStyle w:val="Heading2"/>
      </w:pPr>
      <w:r>
        <w:t xml:space="preserve">IV. Competitive Landscape Analysis: Belgium Brussels Context</w:t>
      </w:r>
    </w:p>
    <w:p>
      <w:pPr>
        <w:pStyle w:val="FirstParagraph"/>
      </w:pPr>
      <w:r>
        <w:t xml:space="preserve">The Sales Report indicates that competitive pressure in Belgium Brussels intensified during Q3 due to three major competitors launching EU-compliant product variants. However, our Marketing Manager's proactive regulatory positioning created a significant differentiation advantage. While competitors focused on generic sustainability claims, our localized approach – emphasizing specific compliance with Belgian implementation of CSRD – resonated deeply with Brussels-based procurement teams who require precise regulatory alignment.</w:t>
      </w:r>
    </w:p>
    <w:p>
      <w:pPr>
        <w:pStyle w:val="BodyText"/>
      </w:pPr>
      <w:r>
        <w:rPr>
          <w:bCs/>
          <w:b/>
        </w:rPr>
        <w:t xml:space="preserve">Market Intelligence Insight:</w:t>
      </w:r>
      <w:r>
        <w:t xml:space="preserve"> </w:t>
      </w:r>
      <w:r>
        <w:t xml:space="preserve">Data from the Brussels Chamber of Commerce confirms that 76% of corporate buyers in Belgium now prioritize "EU regulation compliance" as a key purchase criterion – directly validating our Marketing Manager's strategic focus. This insight was integrated into sales enablement materials by the Marketing Manager, accelerating deal cycles by 28%.</w:t>
      </w:r>
    </w:p>
    <w:bookmarkEnd w:id="26"/>
    <w:bookmarkStart w:id="27" w:name="v.-customer-sentiment-market-trends"/>
    <w:p>
      <w:pPr>
        <w:pStyle w:val="Heading2"/>
      </w:pPr>
      <w:r>
        <w:t xml:space="preserve">V. Customer Sentiment &amp; Market Trends</w:t>
      </w:r>
    </w:p>
    <w:p>
      <w:pPr>
        <w:pStyle w:val="FirstParagraph"/>
      </w:pPr>
      <w:r>
        <w:t xml:space="preserve">Customer satisfaction scores in Belgium Brussels reached 94% (vs. industry average of 86%), with particular praise for our Marketing Manager's client education approach. Key feedback themes include:</w:t>
      </w:r>
    </w:p>
    <w:p>
      <w:pPr>
        <w:numPr>
          <w:ilvl w:val="0"/>
          <w:numId w:val="1001"/>
        </w:numPr>
        <w:pStyle w:val="Compact"/>
      </w:pPr>
      <w:r>
        <w:t xml:space="preserve">"The CSRD compliance guides were invaluable for our Brussels procurement team"</w:t>
      </w:r>
    </w:p>
    <w:p>
      <w:pPr>
        <w:numPr>
          <w:ilvl w:val="0"/>
          <w:numId w:val="1001"/>
        </w:numPr>
        <w:pStyle w:val="Compact"/>
      </w:pPr>
      <w:r>
        <w:t xml:space="preserve">"The localized bilingual marketing content made us feel understood as a Belgian enterprise"</w:t>
      </w:r>
    </w:p>
    <w:p>
      <w:pPr>
        <w:numPr>
          <w:ilvl w:val="0"/>
          <w:numId w:val="1001"/>
        </w:numPr>
        <w:pStyle w:val="Compact"/>
      </w:pPr>
      <w:r>
        <w:t xml:space="preserve">"Your team anticipated regulatory changes before competitors – this is strategic value"</w:t>
      </w:r>
    </w:p>
    <w:bookmarkEnd w:id="27"/>
    <w:bookmarkStart w:id="28" w:name="Xf0ae26d057092acc9c697f251167992b6dc8513"/>
    <w:p>
      <w:pPr>
        <w:pStyle w:val="Heading2"/>
      </w:pPr>
      <w:r>
        <w:t xml:space="preserve">VI. Strategic Recommendations: Future-Proofing Belgium Brussels Operations</w:t>
      </w:r>
    </w:p>
    <w:p>
      <w:pPr>
        <w:pStyle w:val="FirstParagraph"/>
      </w:pPr>
      <w:r>
        <w:t xml:space="preserve">This Sales Report concludes with three critical recommendations spearheaded by our Marketing Manager for Q4 2023:</w:t>
      </w:r>
    </w:p>
    <w:p>
      <w:pPr>
        <w:numPr>
          <w:ilvl w:val="0"/>
          <w:numId w:val="1002"/>
        </w:numPr>
        <w:pStyle w:val="Compact"/>
      </w:pPr>
      <w:r>
        <w:rPr>
          <w:bCs/>
          <w:b/>
        </w:rPr>
        <w:t xml:space="preserve">Expand EU Policy Engagement:</w:t>
      </w:r>
      <w:r>
        <w:t xml:space="preserve"> </w:t>
      </w:r>
      <w:r>
        <w:t xml:space="preserve">Allocate 15% of marketing budget to establish a permanent presence at Brussels policy forums (e.g., European Sustainability Forum) to maintain thought leadership.</w:t>
      </w:r>
    </w:p>
    <w:p>
      <w:pPr>
        <w:numPr>
          <w:ilvl w:val="0"/>
          <w:numId w:val="1002"/>
        </w:numPr>
        <w:pStyle w:val="Compact"/>
      </w:pPr>
      <w:r>
        <w:rPr>
          <w:bCs/>
          <w:b/>
        </w:rPr>
        <w:t xml:space="preserve">Hyper-Localize Content:</w:t>
      </w:r>
      <w:r>
        <w:t xml:space="preserve"> </w:t>
      </w:r>
      <w:r>
        <w:t xml:space="preserve">Develop region-specific content for Flanders vs. Wallonia segments within Belgium, leveraging the Marketing Manager's deep understanding of linguistic and cultural nuances.</w:t>
      </w:r>
    </w:p>
    <w:p>
      <w:pPr>
        <w:numPr>
          <w:ilvl w:val="0"/>
          <w:numId w:val="1002"/>
        </w:numPr>
        <w:pStyle w:val="Compact"/>
      </w:pPr>
      <w:r>
        <w:rPr>
          <w:bCs/>
          <w:b/>
        </w:rPr>
        <w:t xml:space="preserve">Sustainability Certification Program:</w:t>
      </w:r>
      <w:r>
        <w:t xml:space="preserve"> </w:t>
      </w:r>
      <w:r>
        <w:t xml:space="preserve">Partner with Brussels Green Tech Hub to create an official sustainability certification program – positioning our brand as the compliance leader in the market.</w:t>
      </w:r>
    </w:p>
    <w:bookmarkEnd w:id="28"/>
    <w:bookmarkStart w:id="29" w:name="X671c095fef56206dcf83a4b1a37e41f9a5744eb"/>
    <w:p>
      <w:pPr>
        <w:pStyle w:val="Heading2"/>
      </w:pPr>
      <w:r>
        <w:t xml:space="preserve">VII. Conclusion: The Marketing Manager as Regional Growth Catalyst</w:t>
      </w:r>
    </w:p>
    <w:p>
      <w:pPr>
        <w:pStyle w:val="FirstParagraph"/>
      </w:pPr>
      <w:r>
        <w:t xml:space="preserve">The Q3 2023 Sales Report unequivocally demonstrates that strategic marketing leadership is not merely supportive but central to revenue growth in Belgium Brussels. Our Marketing Manager has transformed regulatory compliance from a cost center into a competitive advantage, generating €1.87M in sales through targeted market intelligence and cultural understanding. This performance positions us for sustained market leadership as the EU regulatory landscape continues to evolve – proving that regional expertise combined with global strategy yields exceptional results.</w:t>
      </w:r>
    </w:p>
    <w:p>
      <w:pPr>
        <w:pStyle w:val="BodyText"/>
      </w:pPr>
      <w:r>
        <w:t xml:space="preserve">As we move into Q4, the Marketing Manager's proven ability to translate Brussels' unique business environment into actionable sales growth will remain our most significant asset. This Sales Report confirms that investing in localized marketing leadership within Belgium Brussels isn't just beneficial – it's essential for capturing the full potential of this strategically vital market.</w:t>
      </w:r>
    </w:p>
    <w:p>
      <w:pPr>
        <w:pStyle w:val="BodyText"/>
      </w:pPr>
      <w:r>
        <w:rPr>
          <w:bCs/>
          <w:b/>
        </w:rPr>
        <w:t xml:space="preserve">Prepared with Strategic Insight by:</w:t>
      </w:r>
      <w:r>
        <w:t xml:space="preserve"> </w:t>
      </w:r>
      <w:r>
        <w:t xml:space="preserve">[Marketing Manager Name]</w:t>
      </w:r>
      <w:r>
        <w:br/>
      </w:r>
      <w:r>
        <w:rPr>
          <w:iCs/>
          <w:i/>
        </w:rPr>
        <w:t xml:space="preserve">Belgium Brussels Marketing Leadership Team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Belgium Brussels</dc:title>
  <dc:creator/>
  <dc:language>en</dc:language>
  <cp:keywords/>
  <dcterms:created xsi:type="dcterms:W3CDTF">2026-07-21T08:34:08Z</dcterms:created>
  <dcterms:modified xsi:type="dcterms:W3CDTF">2026-07-21T08:34:08Z</dcterms:modified>
</cp:coreProperties>
</file>

<file path=docProps/custom.xml><?xml version="1.0" encoding="utf-8"?>
<Properties xmlns="http://schemas.openxmlformats.org/officeDocument/2006/custom-properties" xmlns:vt="http://schemas.openxmlformats.org/officeDocument/2006/docPropsVTypes"/>
</file>