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38321afa5e52a78abf7ff55c3255f6a47eade39"/>
    <w:p>
      <w:pPr>
        <w:pStyle w:val="Heading1"/>
      </w:pPr>
      <w:r>
        <w:t xml:space="preserve">Quarterly Sales Report: Marketing Manager Performance &amp; Market Analysis -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Team, Greater China Division</w:t>
      </w:r>
      <w:r>
        <w:br/>
      </w:r>
      <w:r>
        <w:rPr>
          <w:bCs/>
          <w:b/>
        </w:rPr>
        <w:t xml:space="preserve">Prepared By:</w:t>
      </w:r>
      <w:r>
        <w:t xml:space="preserve"> </w:t>
      </w:r>
      <w:r>
        <w:t xml:space="preserve">[Marketing Manager Name], Marketing Manager, Guangzhou Office</w:t>
      </w:r>
    </w:p>
    <w:bookmarkStart w:id="20" w:name="executive-summary"/>
    <w:p>
      <w:pPr>
        <w:pStyle w:val="Heading2"/>
      </w:pPr>
      <w:r>
        <w:t xml:space="preserve">Executive Summary</w:t>
      </w:r>
    </w:p>
    <w:p>
      <w:pPr>
        <w:pStyle w:val="FirstParagraph"/>
      </w:pPr>
      <w:r>
        <w:t xml:space="preserve">This Sales Report details the strategic performance and market dynamics under the leadership of the Marketing Manager for our operations in China Guangzhou during Q3 2023. Despite regional economic headwinds and intensified competition within the Pearl River Delta, our Guangzhou office achieved a 15.8% year-over-year sales growth, exceeding target by 7%. The success is directly attributed to the innovative strategies implemented by the Marketing Manager, who leveraged deep local market insights specific to China Guangzhou’s unique consumer behavior and supply chain ecosystem. This report underscores how the Marketing Manager's localized approach drove tangible results in one of China's most dynamic commercial hubs.</w:t>
      </w:r>
    </w:p>
    <w:bookmarkEnd w:id="20"/>
    <w:bookmarkStart w:id="21" w:name="X69272f7136ec19828f8beab1270510b93c6e45f"/>
    <w:p>
      <w:pPr>
        <w:pStyle w:val="Heading2"/>
      </w:pPr>
      <w:r>
        <w:t xml:space="preserve">Key Sales Metrics: Guangzhou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YoY Change</w:t>
            </w:r>
          </w:p>
        </w:tc>
      </w:tr>
      <w:tr>
        <w:tc>
          <w:tcPr/>
          <w:p>
            <w:pPr>
              <w:pStyle w:val="Compact"/>
              <w:jc w:val="left"/>
            </w:pPr>
            <w:r>
              <w:t xml:space="preserve">Total Sales Revenue (RMB)</w:t>
            </w:r>
          </w:p>
        </w:tc>
        <w:tc>
          <w:tcPr/>
          <w:p>
            <w:pPr>
              <w:pStyle w:val="Compact"/>
              <w:jc w:val="left"/>
            </w:pPr>
            <w:r>
              <w:t xml:space="preserve">¥148.2M</w:t>
            </w:r>
          </w:p>
        </w:tc>
        <w:tc>
          <w:tcPr/>
          <w:p>
            <w:pPr>
              <w:pStyle w:val="Compact"/>
              <w:jc w:val="left"/>
            </w:pPr>
            <w:r>
              <w:t xml:space="preserve">¥138.5M</w:t>
            </w:r>
          </w:p>
        </w:tc>
        <w:tc>
          <w:tcPr/>
          <w:p>
            <w:pPr>
              <w:pStyle w:val="Compact"/>
              <w:jc w:val="left"/>
            </w:pPr>
            <w:r>
              <w:t xml:space="preserve">+15.8%</w:t>
            </w:r>
          </w:p>
        </w:tc>
      </w:tr>
      <w:tr>
        <w:tc>
          <w:tcPr/>
          <w:p>
            <w:pPr>
              <w:pStyle w:val="Compact"/>
              <w:jc w:val="left"/>
            </w:pPr>
            <w:r>
              <w:t xml:space="preserve">New Customer Acquisition</w:t>
            </w:r>
          </w:p>
        </w:tc>
        <w:tc>
          <w:tcPr/>
          <w:p>
            <w:pPr>
              <w:pStyle w:val="Compact"/>
              <w:jc w:val="left"/>
            </w:pPr>
            <w:r>
              <w:t xml:space="preserve">247</w:t>
            </w:r>
          </w:p>
        </w:tc>
        <w:tc>
          <w:tcPr/>
          <w:p>
            <w:pPr>
              <w:pStyle w:val="Compact"/>
              <w:jc w:val="left"/>
            </w:pPr>
            <w:r>
              <w:t xml:space="preserve">200</w:t>
            </w:r>
          </w:p>
        </w:tc>
        <w:tc>
          <w:tcPr/>
          <w:p>
            <w:pPr>
              <w:pStyle w:val="Compact"/>
              <w:jc w:val="left"/>
            </w:pPr>
            <w:r>
              <w:t xml:space="preserve">+23.5%</w:t>
            </w:r>
          </w:p>
        </w:tc>
      </w:tr>
      <w:tr>
        <w:tc>
          <w:tcPr/>
          <w:p>
            <w:pPr>
              <w:pStyle w:val="Compact"/>
              <w:jc w:val="left"/>
            </w:pPr>
            <w:r>
              <w:t xml:space="preserve">Market Share (Consumer Electronics)</w:t>
            </w:r>
          </w:p>
        </w:tc>
        <w:tc>
          <w:tcPr/>
          <w:p>
            <w:pPr>
              <w:pStyle w:val="Compact"/>
              <w:jc w:val="left"/>
            </w:pPr>
            <w:r>
              <w:t xml:space="preserve">18.7%</w:t>
            </w:r>
          </w:p>
        </w:tc>
        <w:tc>
          <w:tcPr/>
          <w:p>
            <w:pPr>
              <w:pStyle w:val="Compact"/>
              <w:jc w:val="left"/>
            </w:pPr>
            <w:r>
              <w:t xml:space="preserve">16.2%</w:t>
            </w:r>
          </w:p>
        </w:tc>
        <w:tc>
          <w:tcPr/>
          <w:p>
            <w:pPr>
              <w:pStyle w:val="Compact"/>
              <w:jc w:val="left"/>
            </w:pPr>
            <w:r>
              <w:t xml:space="preserve">+2.5 pts</w:t>
            </w:r>
          </w:p>
        </w:tc>
      </w:tr>
      <w:tr>
        <w:tc>
          <w:tcPr/>
          <w:p>
            <w:pPr>
              <w:pStyle w:val="Compact"/>
              <w:jc w:val="left"/>
            </w:pPr>
            <w:r>
              <w:t xml:space="preserve">Online Sales Growth (Tmall/JD)</w:t>
            </w:r>
          </w:p>
        </w:tc>
        <w:tc>
          <w:tcPr/>
          <w:p>
            <w:pPr>
              <w:pStyle w:val="Compact"/>
              <w:jc w:val="left"/>
            </w:pPr>
            <w:r>
              <w:t xml:space="preserve">29.3%</w:t>
            </w:r>
          </w:p>
        </w:tc>
        <w:tc>
          <w:tcPr/>
          <w:p>
            <w:pPr>
              <w:pStyle w:val="Compact"/>
              <w:jc w:val="left"/>
            </w:pPr>
            <w:r>
              <w:t xml:space="preserve">24.0%</w:t>
            </w:r>
          </w:p>
        </w:tc>
        <w:tc>
          <w:tcPr/>
          <w:p>
            <w:pPr>
              <w:pStyle w:val="Compact"/>
              <w:jc w:val="left"/>
            </w:pPr>
            <w:r>
              <w:t xml:space="preserve">+5.3 pts</w:t>
            </w:r>
          </w:p>
        </w:tc>
      </w:tr>
    </w:tbl>
    <w:bookmarkEnd w:id="21"/>
    <w:bookmarkStart w:id="22" w:name="market-analysis-china-guangzhou-context"/>
    <w:p>
      <w:pPr>
        <w:pStyle w:val="Heading2"/>
      </w:pPr>
      <w:r>
        <w:t xml:space="preserve">Market Analysis: China Guangzhou Context</w:t>
      </w:r>
    </w:p>
    <w:p>
      <w:pPr>
        <w:pStyle w:val="FirstParagraph"/>
      </w:pPr>
      <w:r>
        <w:t xml:space="preserve">The Marketing Manager’s Q3 strategy was meticulously designed around the realities of operating in China Guangzhou. As a global manufacturing and trade nexus hosting the Canton Fair, Guangzhou presents both unique opportunities and challenges. The Marketing Manager identified three critical regional factors:</w:t>
      </w:r>
    </w:p>
    <w:p>
      <w:pPr>
        <w:numPr>
          <w:ilvl w:val="0"/>
          <w:numId w:val="1001"/>
        </w:numPr>
        <w:pStyle w:val="Compact"/>
      </w:pPr>
      <w:r>
        <w:rPr>
          <w:bCs/>
          <w:b/>
        </w:rPr>
        <w:t xml:space="preserve">Post-Pandemic Consumer Shifts:</w:t>
      </w:r>
      <w:r>
        <w:t xml:space="preserve"> </w:t>
      </w:r>
      <w:r>
        <w:t xml:space="preserve">Guangzhou consumers prioritize value-driven solutions post-recovery. The Marketing Manager pivoted campaigns to emphasize "Essential Tech" bundles, driving a 32% increase in mid-tier product sales.</w:t>
      </w:r>
    </w:p>
    <w:p>
      <w:pPr>
        <w:numPr>
          <w:ilvl w:val="0"/>
          <w:numId w:val="1001"/>
        </w:numPr>
        <w:pStyle w:val="Compact"/>
      </w:pPr>
      <w:r>
        <w:rPr>
          <w:bCs/>
          <w:b/>
        </w:rPr>
        <w:t xml:space="preserve">Competitive Landscape:</w:t>
      </w:r>
      <w:r>
        <w:t xml:space="preserve"> </w:t>
      </w:r>
      <w:r>
        <w:t xml:space="preserve">Local brands like Xiaomi and Huawei intensified promotions during the Double 11 pre-sale period. The Marketing Manager countered by securing exclusive partnerships with Guangzhou-based logistics firms (e.g., YTO Express) for same-day delivery, a key differentiator in China Guangzhou's urban market.</w:t>
      </w:r>
    </w:p>
    <w:p>
      <w:pPr>
        <w:numPr>
          <w:ilvl w:val="0"/>
          <w:numId w:val="1001"/>
        </w:numPr>
        <w:pStyle w:val="Compact"/>
      </w:pPr>
      <w:r>
        <w:rPr>
          <w:bCs/>
          <w:b/>
        </w:rPr>
        <w:t xml:space="preserve">Regional Economic Policy:</w:t>
      </w:r>
      <w:r>
        <w:t xml:space="preserve"> </w:t>
      </w:r>
      <w:r>
        <w:t xml:space="preserve">Leveraging Guangdong Province’s "Digital Economy" incentives, the Marketing Manager secured RMB 1.2M in government co-marketing funds to launch an AI-driven customer experience pilot at our Guangzhou flagship store.</w:t>
      </w:r>
    </w:p>
    <w:bookmarkEnd w:id="22"/>
    <w:bookmarkStart w:id="23" w:name="X2e65149fad8bec2b9933e7dfc56a15a227ddaf2"/>
    <w:p>
      <w:pPr>
        <w:pStyle w:val="Heading2"/>
      </w:pPr>
      <w:r>
        <w:t xml:space="preserve">The Marketing Manager's Strategic Initiatives</w:t>
      </w:r>
    </w:p>
    <w:p>
      <w:pPr>
        <w:pStyle w:val="FirstParagraph"/>
      </w:pPr>
      <w:r>
        <w:t xml:space="preserve">Under the leadership of the Marketing Manager, three initiatives directly fueled Q3 success in China Guangzhou:</w:t>
      </w:r>
    </w:p>
    <w:p>
      <w:pPr>
        <w:numPr>
          <w:ilvl w:val="0"/>
          <w:numId w:val="1002"/>
        </w:numPr>
        <w:pStyle w:val="Compact"/>
      </w:pPr>
      <w:r>
        <w:rPr>
          <w:bCs/>
          <w:b/>
        </w:rPr>
        <w:t xml:space="preserve">Guangzhou-Centric Influencer Network:</w:t>
      </w:r>
      <w:r>
        <w:t xml:space="preserve"> </w:t>
      </w:r>
      <w:r>
        <w:t xml:space="preserve">The Marketing Manager built relationships with 47 local KOLs specializing in "Cantonese Lifestyle" content (e.g., @GuangzhouLifeTips on WeChat). Campaigns targeting Gen-Z consumers via Douyin generated 1.8M impressions and a 22% conversion lift for new product lines.</w:t>
      </w:r>
    </w:p>
    <w:p>
      <w:pPr>
        <w:numPr>
          <w:ilvl w:val="0"/>
          <w:numId w:val="1002"/>
        </w:numPr>
        <w:pStyle w:val="Compact"/>
      </w:pPr>
      <w:r>
        <w:rPr>
          <w:bCs/>
          <w:b/>
        </w:rPr>
        <w:t xml:space="preserve">Supply Chain Integration:</w:t>
      </w:r>
      <w:r>
        <w:t xml:space="preserve"> </w:t>
      </w:r>
      <w:r>
        <w:t xml:space="preserve">Collaborating with Guangzhou’s industrial clusters, the Marketing Manager streamlined B2B procurement, reducing lead times by 35% for key suppliers. This enabled rapid inventory adjustments to meet demand spikes during the Mid-Autumn Festival.</w:t>
      </w:r>
    </w:p>
    <w:p>
      <w:pPr>
        <w:numPr>
          <w:ilvl w:val="0"/>
          <w:numId w:val="1002"/>
        </w:numPr>
        <w:pStyle w:val="Compact"/>
      </w:pPr>
      <w:r>
        <w:rPr>
          <w:bCs/>
          <w:b/>
        </w:rPr>
        <w:t xml:space="preserve">Data Localization:</w:t>
      </w:r>
      <w:r>
        <w:t xml:space="preserve"> </w:t>
      </w:r>
      <w:r>
        <w:t xml:space="preserve">The Marketing Manager deployed Guangzhou-specific analytics dashboards tracking real-time sales data from 128 retail partners across the city. This allowed hyper-targeted promotions in high-potential districts like Tianhe and Yuexiu.</w:t>
      </w:r>
    </w:p>
    <w:bookmarkEnd w:id="23"/>
    <w:bookmarkStart w:id="24" w:name="X714adbe5292d6d28eda54e9c588a81923b62121"/>
    <w:p>
      <w:pPr>
        <w:pStyle w:val="Heading2"/>
      </w:pPr>
      <w:r>
        <w:t xml:space="preserve">Challenges &amp; Mitigation (China Guangzhou Specific)</w:t>
      </w:r>
    </w:p>
    <w:p>
      <w:pPr>
        <w:pStyle w:val="FirstParagraph"/>
      </w:pPr>
      <w:r>
        <w:t xml:space="preserve">The Marketing Manager navigated two Guangzhou-specific hurdles:</w:t>
      </w:r>
    </w:p>
    <w:p>
      <w:pPr>
        <w:numPr>
          <w:ilvl w:val="0"/>
          <w:numId w:val="1003"/>
        </w:numPr>
        <w:pStyle w:val="Compact"/>
      </w:pPr>
      <w:r>
        <w:rPr>
          <w:iCs/>
          <w:i/>
        </w:rPr>
        <w:t xml:space="preserve">Challenge:</w:t>
      </w:r>
      <w:r>
        <w:t xml:space="preserve"> </w:t>
      </w:r>
      <w:r>
        <w:t xml:space="preserve">Supply chain delays affecting electronics components due to port congestion at Nansha Port.</w:t>
      </w:r>
      <w:r>
        <w:br/>
      </w:r>
      <w:r>
        <w:rPr>
          <w:iCs/>
          <w:i/>
        </w:rPr>
        <w:t xml:space="preserve">Mitigation:</w:t>
      </w:r>
      <w:r>
        <w:t xml:space="preserve"> </w:t>
      </w:r>
      <w:r>
        <w:t xml:space="preserve">The Marketing Manager rerouted 30% of inventory through Shenzhen via cross-border partnerships, avoiding stockouts in Guangzhou stores. Result: Zero lost sales during peak season.</w:t>
      </w:r>
    </w:p>
    <w:p>
      <w:pPr>
        <w:numPr>
          <w:ilvl w:val="0"/>
          <w:numId w:val="1003"/>
        </w:numPr>
        <w:pStyle w:val="Compact"/>
      </w:pPr>
      <w:r>
        <w:rPr>
          <w:iCs/>
          <w:i/>
        </w:rPr>
        <w:t xml:space="preserve">Challenge:</w:t>
      </w:r>
      <w:r>
        <w:t xml:space="preserve"> </w:t>
      </w:r>
      <w:r>
        <w:t xml:space="preserve">Cultural resistance to premium pricing among traditional Guangzhou consumers.</w:t>
      </w:r>
      <w:r>
        <w:br/>
      </w:r>
      <w:r>
        <w:rPr>
          <w:iCs/>
          <w:i/>
        </w:rPr>
        <w:t xml:space="preserve">Mitigation:</w:t>
      </w:r>
      <w:r>
        <w:t xml:space="preserve"> </w:t>
      </w:r>
      <w:r>
        <w:t xml:space="preserve">The Marketing Manager developed a "Value-For-Life" education campaign (e.g., workshops on product longevity at local community centers), increasing average order value by 18%.</w:t>
      </w:r>
    </w:p>
    <w:bookmarkEnd w:id="24"/>
    <w:bookmarkStart w:id="25" w:name="X62f95fd13e08d55913f2d438c786a534159dec1"/>
    <w:p>
      <w:pPr>
        <w:pStyle w:val="Heading2"/>
      </w:pPr>
      <w:r>
        <w:t xml:space="preserve">Action Plan: Q4 2023 (Marketing Manager Leadership)</w:t>
      </w:r>
    </w:p>
    <w:p>
      <w:pPr>
        <w:pStyle w:val="FirstParagraph"/>
      </w:pPr>
      <w:r>
        <w:t xml:space="preserve">Building on Q3 momentum, the Marketing Manager has prioritized:</w:t>
      </w:r>
    </w:p>
    <w:p>
      <w:pPr>
        <w:numPr>
          <w:ilvl w:val="0"/>
          <w:numId w:val="1004"/>
        </w:numPr>
        <w:pStyle w:val="Compact"/>
      </w:pPr>
      <w:r>
        <w:rPr>
          <w:bCs/>
          <w:b/>
        </w:rPr>
        <w:t xml:space="preserve">Double 11 Pre-Launch in Guangzhou:</w:t>
      </w:r>
      <w:r>
        <w:t xml:space="preserve"> </w:t>
      </w:r>
      <w:r>
        <w:t xml:space="preserve">Targeting RMB 65M sales through exclusive partnerships with Meituan for local delivery integration.</w:t>
      </w:r>
    </w:p>
    <w:p>
      <w:pPr>
        <w:numPr>
          <w:ilvl w:val="0"/>
          <w:numId w:val="1004"/>
        </w:numPr>
        <w:pStyle w:val="Compact"/>
      </w:pPr>
      <w:r>
        <w:rPr>
          <w:bCs/>
          <w:b/>
        </w:rPr>
        <w:t xml:space="preserve">Guangdong SME Collaboration Program:</w:t>
      </w:r>
      <w:r>
        <w:t xml:space="preserve"> </w:t>
      </w:r>
      <w:r>
        <w:t xml:space="preserve">Onboarding 50+ small manufacturers from Guangzhou’s industrial parks to co-develop affordable product lines, addressing the Marketing Manager's observation of untapped demand in Tier-3 cities within the province.</w:t>
      </w:r>
    </w:p>
    <w:bookmarkEnd w:id="25"/>
    <w:bookmarkStart w:id="26" w:name="X7039587d87ec768f21ececa3baa8bee707f51fd"/>
    <w:p>
      <w:pPr>
        <w:pStyle w:val="Heading2"/>
      </w:pPr>
      <w:r>
        <w:t xml:space="preserve">Conclusion: The Marketing Manager's Impact in China Guangzhou</w:t>
      </w:r>
    </w:p>
    <w:p>
      <w:pPr>
        <w:pStyle w:val="FirstParagraph"/>
      </w:pPr>
      <w:r>
        <w:t xml:space="preserve">This Sales Report unequivocally demonstrates that the success in China Guangzhou is inseparable from strategic leadership. The Marketing Manager’s deep understanding of local market dynamics—coupled with agile execution and cultural intelligence—transformed regional challenges into growth catalysts. The 15.8% sales surge was not accidental; it was the result of deliberate, Guangzhou-first strategy implemented by the Marketing Manager. As we enter Q4, this localized approach remains central to our expansion in Greater China, proving that market dominance begins with mastering the nuances of a city like Guangzhou.</w:t>
      </w:r>
    </w:p>
    <w:p>
      <w:pPr>
        <w:pStyle w:val="BodyText"/>
      </w:pPr>
      <w:r>
        <w:rPr>
          <w:bCs/>
          <w:b/>
        </w:rPr>
        <w:t xml:space="preserve">Prepared By:</w:t>
      </w:r>
      <w:r>
        <w:t xml:space="preserve"> </w:t>
      </w:r>
      <w:r>
        <w:t xml:space="preserve">[Marketing Manager Name], Marketing Manager, Guangzhou Office</w:t>
      </w:r>
      <w:r>
        <w:br/>
      </w:r>
      <w:r>
        <w:rPr>
          <w:bCs/>
          <w:b/>
        </w:rPr>
        <w:t xml:space="preserve">Contact:</w:t>
      </w:r>
      <w:r>
        <w:t xml:space="preserve"> </w:t>
      </w:r>
      <w:r>
        <w:t xml:space="preserve">marketing.guangzhou@company.com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Sales Performance Report: Q3 2023</dc:title>
  <dc:creator/>
  <dc:language>en</dc:language>
  <cp:keywords/>
  <dcterms:created xsi:type="dcterms:W3CDTF">2026-07-24T09:58:38Z</dcterms:created>
  <dcterms:modified xsi:type="dcterms:W3CDTF">2026-07-24T09:58:38Z</dcterms:modified>
</cp:coreProperties>
</file>

<file path=docProps/custom.xml><?xml version="1.0" encoding="utf-8"?>
<Properties xmlns="http://schemas.openxmlformats.org/officeDocument/2006/custom-properties" xmlns:vt="http://schemas.openxmlformats.org/officeDocument/2006/docPropsVTypes"/>
</file>