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29" w:name="X6428779dc937761a9d984ac0498e62891b4c752"/>
    <w:p>
      <w:pPr>
        <w:pStyle w:val="Heading1"/>
      </w:pPr>
      <w:r>
        <w:t xml:space="preserve">Quarterly Sales Report: Marketing Manager Performance Analysis for Colombia Bogotá Market (Q3 2023)</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under the leadership of our dedicated Marketing Manager in Colombia Bogotá. The report confirms a significant 18.7% year-over-year growth in sales revenue for Q3 2023, driven by targeted digital campaigns and localized market strategies implemented by our Marketing Manager. Despite regional economic fluctuations, the Colombia Bogotá market demonstrated remarkable resilience, with the Marketing Manager's data-driven approach proving instrumental in capturing new customer segments and strengthening brand presence across key verticals including consumer electronics, healthcare services, and premium retail.</w:t>
      </w:r>
    </w:p>
    <w:bookmarkEnd w:id="20"/>
    <w:bookmarkStart w:id="21" w:name="market-context-colombia-bogotá-dynamics"/>
    <w:p>
      <w:pPr>
        <w:pStyle w:val="Heading2"/>
      </w:pPr>
      <w:r>
        <w:t xml:space="preserve">Market Context: Colombia Bogotá Dynamics</w:t>
      </w:r>
    </w:p>
    <w:p>
      <w:pPr>
        <w:pStyle w:val="FirstParagraph"/>
      </w:pPr>
      <w:r>
        <w:t xml:space="preserve">Bogotá remains the economic epicenter of Colombia, representing 28% of national GDP and housing 45% of the country's high-value consumers. As the Marketing Manager for our operations in Colombia Bogotá, this report emphasizes how localized market intelligence directly influenced sales outcomes. The Marketing Manager conducted bi-weekly competitor analysis across major shopping districts (La Candelaria, Chapinero, and Usaquén), identifying critical gaps in digital engagement that we successfully exploited through hyper-targeted social media campaigns. This Colombia Bogotá-focused strategy resulted in a 32% increase in customer acquisition cost efficiency compared to previous quarters.</w:t>
      </w:r>
    </w:p>
    <w:bookmarkEnd w:id="21"/>
    <w:bookmarkStart w:id="22" w:name="key-sales-performance-metrics"/>
    <w:p>
      <w:pPr>
        <w:pStyle w:val="Heading2"/>
      </w:pPr>
      <w:r>
        <w:t xml:space="preserve">Key Sales Performance Metrics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Variance</w:t>
      </w:r>
    </w:p>
    <w:p>
      <w:pPr>
        <w:pStyle w:val="BodyText"/>
      </w:pPr>
      <w:r>
        <w:t xml:space="preserve">Total Revenue (USD)</w:t>
      </w:r>
    </w:p>
    <w:p>
      <w:pPr>
        <w:pStyle w:val="BodyText"/>
      </w:pPr>
      <w:r>
        <w:t xml:space="preserve">$1,854,000</w:t>
      </w:r>
    </w:p>
    <w:p>
      <w:pPr>
        <w:pStyle w:val="BodyText"/>
      </w:pPr>
      <w:r>
        <w:t xml:space="preserve">$1,561,000</w:t>
      </w:r>
    </w:p>
    <w:p>
      <w:pPr>
        <w:pStyle w:val="BodyText"/>
      </w:pPr>
      <w:r>
        <w:t xml:space="preserve">+18.7%</w:t>
      </w:r>
    </w:p>
    <w:p>
      <w:pPr>
        <w:pStyle w:val="BodyText"/>
      </w:pPr>
      <w:r>
        <w:t xml:space="preserve">Customer Acquisition Rate</w:t>
      </w:r>
    </w:p>
    <w:p>
      <w:pPr>
        <w:pStyle w:val="BodyText"/>
      </w:pPr>
      <w:r>
        <w:t xml:space="preserve">24.3%</w:t>
      </w:r>
    </w:p>
    <w:p>
      <w:pPr>
        <w:pStyle w:val="BodyText"/>
      </w:pPr>
      <w:r>
        <w:t xml:space="preserve">19.8%</w:t>
      </w:r>
    </w:p>
    <w:p>
      <w:pPr>
        <w:pStyle w:val="BodyText"/>
      </w:pPr>
      <w:r>
        <w:t xml:space="preserve">+22.7%</w:t>
      </w:r>
    </w:p>
    <w:p>
      <w:pPr>
        <w:pStyle w:val="BodyText"/>
      </w:pPr>
      <w:r>
        <w:t xml:space="preserve">Market Share (Bogotá)</w:t>
      </w:r>
    </w:p>
    <w:p>
      <w:pPr>
        <w:pStyle w:val="BodyText"/>
      </w:pPr>
      <w:r>
        <w:t xml:space="preserve">17.6%</w:t>
      </w:r>
    </w:p>
    <w:p>
      <w:pPr>
        <w:pStyle w:val="BodyText"/>
      </w:pPr>
      <w:r>
        <w:t xml:space="preserve">15.3%</w:t>
      </w:r>
    </w:p>
    <w:p>
      <w:pPr>
        <w:pStyle w:val="BodyText"/>
      </w:pPr>
      <w:r>
        <w:t xml:space="preserve">+2.3 pts</w:t>
      </w:r>
    </w:p>
    <w:p>
      <w:pPr>
        <w:pStyle w:val="BodyText"/>
      </w:pPr>
      <w:r>
        <w:t xml:space="preserve">Customer Retention Rate</w:t>
      </w:r>
    </w:p>
    <w:p>
      <w:pPr>
        <w:pStyle w:val="BodyText"/>
      </w:pPr>
      <w:r>
        <w:t xml:space="preserve">78.9%</w:t>
      </w:r>
    </w:p>
    <w:p>
      <w:pPr>
        <w:pStyle w:val="BodyText"/>
      </w:pPr>
      <w:r>
        <w:t xml:space="preserve">74.1%</w:t>
      </w:r>
    </w:p>
    <w:p>
      <w:pPr>
        <w:pStyle w:val="BodyText"/>
      </w:pPr>
      <w:r>
        <w:rPr>
          <w:bCs/>
          <w:b/>
        </w:rPr>
        <w:t xml:space="preserve">+4.8 pts</w:t>
      </w:r>
    </w:p>
    <w:bookmarkEnd w:id="22"/>
    <w:bookmarkStart w:id="23" w:name="Xc9f03de8e98161cb3fdd744b19bdc1065b1479a"/>
    <w:p>
      <w:pPr>
        <w:pStyle w:val="Heading2"/>
      </w:pPr>
      <w:r>
        <w:t xml:space="preserve">Marketing Manager's Strategic Initiatives Impact</w:t>
      </w:r>
    </w:p>
    <w:p>
      <w:pPr>
        <w:pStyle w:val="FirstParagraph"/>
      </w:pPr>
      <w:r>
        <w:t xml:space="preserve">The Marketing Manager's execution of the "Bogotá Pulse" campaign directly contributed to 67% of total Q3 sales growth. This localized initiative included:</w:t>
      </w:r>
    </w:p>
    <w:p>
      <w:pPr>
        <w:numPr>
          <w:ilvl w:val="0"/>
          <w:numId w:val="1001"/>
        </w:numPr>
        <w:pStyle w:val="Compact"/>
      </w:pPr>
      <w:r>
        <w:rPr>
          <w:bCs/>
          <w:b/>
        </w:rPr>
        <w:t xml:space="preserve">Geo-Targeted Social Media Blitz:</w:t>
      </w:r>
      <w:r>
        <w:t xml:space="preserve"> </w:t>
      </w:r>
      <w:r>
        <w:t xml:space="preserve">Leveraging Instagram and Facebook location-based ads in Bogotá's top 5 districts, increasing engagement by 41% through culturally relevant content featuring local influencers like @BogotaVibes.</w:t>
      </w:r>
    </w:p>
    <w:p>
      <w:pPr>
        <w:numPr>
          <w:ilvl w:val="0"/>
          <w:numId w:val="1001"/>
        </w:numPr>
        <w:pStyle w:val="Compact"/>
      </w:pPr>
      <w:r>
        <w:rPr>
          <w:bCs/>
          <w:b/>
        </w:rPr>
        <w:t xml:space="preserve">Hyper-Local Event Sponsorships:</w:t>
      </w:r>
      <w:r>
        <w:t xml:space="preserve"> </w:t>
      </w:r>
      <w:r>
        <w:t xml:space="preserve">Partnering with cultural events (Festival de la Luz and Expo Salud) resulting in 2,300 qualified leads and a 28% conversion rate for premium service packages.</w:t>
      </w:r>
    </w:p>
    <w:p>
      <w:pPr>
        <w:numPr>
          <w:ilvl w:val="0"/>
          <w:numId w:val="1001"/>
        </w:numPr>
        <w:pStyle w:val="Compact"/>
      </w:pPr>
      <w:r>
        <w:rPr>
          <w:bCs/>
          <w:b/>
        </w:rPr>
        <w:t xml:space="preserve">Data-Driven Customer Journey Optimization:</w:t>
      </w:r>
      <w:r>
        <w:t xml:space="preserve"> </w:t>
      </w:r>
      <w:r>
        <w:t xml:space="preserve">Implementing CRM segmentation based on Bogotá consumer behavior patterns, reducing sales cycle time by 19 days for the high-value segment.</w:t>
      </w:r>
    </w:p>
    <w:bookmarkEnd w:id="23"/>
    <w:bookmarkStart w:id="24" w:name="X7a4a7f73cbf288c98a6218c8ed74d8a8e6482ec"/>
    <w:p>
      <w:pPr>
        <w:pStyle w:val="Heading2"/>
      </w:pPr>
      <w:r>
        <w:t xml:space="preserve">Regional Performance Breakdown (Colombia Bogotá)</w:t>
      </w:r>
    </w:p>
    <w:p>
      <w:pPr>
        <w:pStyle w:val="FirstParagraph"/>
      </w:pPr>
      <w:r>
        <w:t xml:space="preserve">The Sales Report reveals distinct performance patterns across Bogotá's economic zones, which the Marketing Manager strategically addressed:</w:t>
      </w:r>
    </w:p>
    <w:p>
      <w:pPr>
        <w:numPr>
          <w:ilvl w:val="0"/>
          <w:numId w:val="1002"/>
        </w:numPr>
        <w:pStyle w:val="Compact"/>
      </w:pPr>
      <w:r>
        <w:rPr>
          <w:bCs/>
          <w:b/>
        </w:rPr>
        <w:t xml:space="preserve">North Districts (Chapinero, El Retiro):</w:t>
      </w:r>
      <w:r>
        <w:t xml:space="preserve"> </w:t>
      </w:r>
      <w:r>
        <w:t xml:space="preserve">31% revenue growth through premium product bundles targeting high-income professionals. The Marketing Manager introduced exclusive "Executive Lounge" pop-up events at upscale co-working spaces.</w:t>
      </w:r>
    </w:p>
    <w:p>
      <w:pPr>
        <w:numPr>
          <w:ilvl w:val="0"/>
          <w:numId w:val="1002"/>
        </w:numPr>
        <w:pStyle w:val="Compact"/>
      </w:pPr>
      <w:r>
        <w:rPr>
          <w:bCs/>
          <w:b/>
        </w:rPr>
        <w:t xml:space="preserve">Southern Corridors (Usaquén, Santa Fe):</w:t>
      </w:r>
      <w:r>
        <w:t xml:space="preserve"> </w:t>
      </w:r>
      <w:r>
        <w:t xml:space="preserve">24% growth via mobile-first campaigns and WhatsApp commerce integration for local artisan partnerships. This channel generated $315K in sales with 0% cart abandonment.</w:t>
      </w:r>
    </w:p>
    <w:p>
      <w:pPr>
        <w:numPr>
          <w:ilvl w:val="0"/>
          <w:numId w:val="1002"/>
        </w:numPr>
        <w:pStyle w:val="Compact"/>
      </w:pPr>
      <w:r>
        <w:rPr>
          <w:bCs/>
          <w:b/>
        </w:rPr>
        <w:t xml:space="preserve">Peripheral Zones (Kennedy, Bosa):</w:t>
      </w:r>
      <w:r>
        <w:t xml:space="preserve"> </w:t>
      </w:r>
      <w:r>
        <w:t xml:space="preserve">15% growth through affordability-focused "Bogotá Solidarity" discount tiers, supported by the Marketing Manager's community partnership program with local NGOs.</w:t>
      </w:r>
    </w:p>
    <w:bookmarkEnd w:id="24"/>
    <w:bookmarkStart w:id="25" w:name="X069ec4f2c49df222b9f494e67cca437ca98467d"/>
    <w:p>
      <w:pPr>
        <w:pStyle w:val="Heading2"/>
      </w:pPr>
      <w:r>
        <w:t xml:space="preserve">Challenges and Strategic Response in Colombia Bogotá</w:t>
      </w:r>
    </w:p>
    <w:p>
      <w:pPr>
        <w:pStyle w:val="FirstParagraph"/>
      </w:pPr>
      <w:r>
        <w:t xml:space="preserve">The Marketing Manager identified three critical challenges during Q3 and implemented solutions:</w:t>
      </w:r>
    </w:p>
    <w:p>
      <w:pPr>
        <w:numPr>
          <w:ilvl w:val="0"/>
          <w:numId w:val="1003"/>
        </w:numPr>
        <w:pStyle w:val="Compact"/>
      </w:pPr>
      <w:r>
        <w:rPr>
          <w:bCs/>
          <w:b/>
        </w:rPr>
        <w:t xml:space="preserve">Price Sensitivity During Inflation:</w:t>
      </w:r>
      <w:r>
        <w:t xml:space="preserve"> </w:t>
      </w:r>
      <w:r>
        <w:t xml:space="preserve">With 10.5% annual inflation in Bogotá, the Marketing Manager introduced tiered pricing with flexible payment plans (via Mercado Pago integration), maintaining gross margins while increasing volume.</w:t>
      </w:r>
    </w:p>
    <w:p>
      <w:pPr>
        <w:numPr>
          <w:ilvl w:val="0"/>
          <w:numId w:val="1003"/>
        </w:numPr>
        <w:pStyle w:val="Compact"/>
      </w:pPr>
      <w:r>
        <w:rPr>
          <w:bCs/>
          <w:b/>
        </w:rPr>
        <w:t xml:space="preserve">Digital Infrastructure Gaps:</w:t>
      </w:r>
      <w:r>
        <w:t xml:space="preserve"> </w:t>
      </w:r>
      <w:r>
        <w:t xml:space="preserve">Recognizing Bogotá's uneven mobile internet penetration, the Marketing Manager prioritized SMS-based loyalty programs in underserved neighborhoods, reaching 42% of our target demographic.</w:t>
      </w:r>
    </w:p>
    <w:p>
      <w:pPr>
        <w:numPr>
          <w:ilvl w:val="0"/>
          <w:numId w:val="1003"/>
        </w:numPr>
        <w:pStyle w:val="Compact"/>
      </w:pPr>
      <w:r>
        <w:rPr>
          <w:bCs/>
          <w:b/>
        </w:rPr>
        <w:t xml:space="preserve">Competitive Pressure from Local Brands:</w:t>
      </w:r>
      <w:r>
        <w:t xml:space="preserve"> </w:t>
      </w:r>
      <w:r>
        <w:t xml:space="preserve">The Marketing Manager launched "Bogotá Born" product line co-created with local designers, achieving 37% higher customer sentiment scores than generic offerings.</w:t>
      </w:r>
    </w:p>
    <w:bookmarkEnd w:id="25"/>
    <w:bookmarkStart w:id="26" w:name="recommendations-for-next-quarter"/>
    <w:p>
      <w:pPr>
        <w:pStyle w:val="Heading2"/>
      </w:pPr>
      <w:r>
        <w:t xml:space="preserve">Recommendations for Next Quarter</w:t>
      </w:r>
    </w:p>
    <w:p>
      <w:pPr>
        <w:pStyle w:val="FirstParagraph"/>
      </w:pPr>
      <w:r>
        <w:t xml:space="preserve">Based on the successful implementation of strategies by our Colombia Bogotá Marketing Manager, we recommend:</w:t>
      </w:r>
    </w:p>
    <w:p>
      <w:pPr>
        <w:numPr>
          <w:ilvl w:val="0"/>
          <w:numId w:val="1004"/>
        </w:numPr>
        <w:pStyle w:val="Compact"/>
      </w:pPr>
      <w:r>
        <w:rPr>
          <w:bCs/>
          <w:b/>
        </w:rPr>
        <w:t xml:space="preserve">Scale "Bogotá Pulse" to Medellín:</w:t>
      </w:r>
      <w:r>
        <w:t xml:space="preserve"> </w:t>
      </w:r>
      <w:r>
        <w:t xml:space="preserve">Replicate the campaign model in Colombia's second-largest market using insights from our Bogotá performance data.</w:t>
      </w:r>
    </w:p>
    <w:p>
      <w:pPr>
        <w:numPr>
          <w:ilvl w:val="0"/>
          <w:numId w:val="1004"/>
        </w:numPr>
        <w:pStyle w:val="Compact"/>
      </w:pPr>
      <w:r>
        <w:rPr>
          <w:bCs/>
          <w:b/>
        </w:rPr>
        <w:t xml:space="preserve">Invest in Localized AI Chatbots:</w:t>
      </w:r>
      <w:r>
        <w:t xml:space="preserve"> </w:t>
      </w:r>
      <w:r>
        <w:t xml:space="preserve">Develop Spanish-language NLP tools trained on Bogotá-specific purchase queries to improve conversion rates by 25%.</w:t>
      </w:r>
    </w:p>
    <w:bookmarkEnd w:id="26"/>
    <w:bookmarkStart w:id="28" w:name="conclusion"/>
    <w:p>
      <w:pPr>
        <w:pStyle w:val="Heading2"/>
      </w:pPr>
      <w:r>
        <w:t xml:space="preserve">Conclusion</w:t>
      </w:r>
    </w:p>
    <w:p>
      <w:pPr>
        <w:pStyle w:val="FirstParagraph"/>
      </w:pPr>
      <w:r>
        <w:t xml:space="preserve">This Sales Report conclusively demonstrates how strategic leadership by our Marketing Manager in Colombia Bogotá has transformed market positioning and sales outcomes. The region-specific approach—centered on real-time cultural intelligence, agile campaign execution, and community-driven engagement—has established a scalable model for Latin American markets. As the Marketing Manager continues to refine these strategies with deep Colombia Bogotá market expertise, we project 25%+ annual growth through Q4 2023. The Sales Report underscores that our investment in localized marketing leadership is not merely an operational expense but a critical revenue driver for sustainable expansion across Colombia and beyond. The Marketing Manager's ability to turn Bogotá's unique economic and cultural landscape into competitive advantage remains the cornerstone of our success in this vital market.</w:t>
      </w:r>
    </w:p>
    <w:p>
      <w:pPr>
        <w:pStyle w:val="BodyText"/>
      </w:pPr>
      <w:r>
        <w:rPr>
          <w:bCs/>
          <w:b/>
        </w:rPr>
        <w:t xml:space="preserve">Prepared by:</w:t>
      </w:r>
      <w:r>
        <w:t xml:space="preserve"> </w:t>
      </w:r>
      <w:r>
        <w:t xml:space="preserve">Sales Intelligence Unit</w:t>
      </w:r>
      <w:r>
        <w:br/>
      </w:r>
      <w:r>
        <w:rPr>
          <w:bCs/>
          <w:b/>
        </w:rPr>
        <w:t xml:space="preserve">Date:</w:t>
      </w:r>
      <w:r>
        <w:t xml:space="preserve"> </w:t>
      </w:r>
      <w:r>
        <w:t xml:space="preserve">October 15, 2023</w:t>
      </w:r>
      <w:r>
        <w:br/>
      </w:r>
      <w:r>
        <w:rPr>
          <w:bCs/>
          <w:b/>
        </w:rPr>
        <w:t xml:space="preserve">For:</w:t>
      </w:r>
      <w:r>
        <w:t xml:space="preserve"> </w:t>
      </w:r>
      <w:r>
        <w:t xml:space="preserve">Regional Executive Team - Colombia Bogotá Operations</w:t>
      </w:r>
    </w:p>
    <w:bookmarkStart w:id="27" w:name="acknowledgement-of-key-contributors"/>
    <w:p>
      <w:pPr>
        <w:pStyle w:val="Heading3"/>
      </w:pPr>
      <w:r>
        <w:t xml:space="preserve">Acknowledgement of Key Contributors</w:t>
      </w:r>
    </w:p>
    <w:p>
      <w:pPr>
        <w:pStyle w:val="FirstParagraph"/>
      </w:pPr>
      <w:r>
        <w:t xml:space="preserve">This Sales Report reflects the exceptional work of our Marketing Manager in Colombia Bogotá, whose deep market immersion and innovative strategies directly fueled our Q3 success. The team's commitment to understanding local consumer behavior through weekly community engagement sessions in Bogotá neighborhoods exemplifies best practices for emerging markets.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 Colombia Bogotá</dc:title>
  <dc:creator/>
  <dc:language>en</dc:language>
  <cp:keywords/>
  <dcterms:created xsi:type="dcterms:W3CDTF">2026-07-24T13:00:59Z</dcterms:created>
  <dcterms:modified xsi:type="dcterms:W3CDTF">2026-07-24T13:00:59Z</dcterms:modified>
</cp:coreProperties>
</file>

<file path=docProps/custom.xml><?xml version="1.0" encoding="utf-8"?>
<Properties xmlns="http://schemas.openxmlformats.org/officeDocument/2006/custom-properties" xmlns:vt="http://schemas.openxmlformats.org/officeDocument/2006/docPropsVTypes"/>
</file>