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28" w:name="X734ea0bab68f0fe1439100090576a8da797ba13"/>
    <w:p>
      <w:pPr>
        <w:pStyle w:val="Heading1"/>
      </w:pPr>
      <w:r>
        <w:t xml:space="preserve">Q3 2023 Sales Performance Report: Marketing Manager Excellence in Germany Munich Market</w:t>
      </w:r>
    </w:p>
    <w:p>
      <w:pPr>
        <w:pStyle w:val="FirstParagraph"/>
      </w:pPr>
      <w:r>
        <w:rPr>
          <w:bCs/>
          <w:b/>
        </w:rPr>
        <w:t xml:space="preserve">Prepared For:</w:t>
      </w:r>
      <w:r>
        <w:t xml:space="preserve"> </w:t>
      </w:r>
      <w:r>
        <w:t xml:space="preserve">Executive Leadership, Bavarian Regional Office</w:t>
      </w:r>
      <w:r>
        <w:br/>
      </w:r>
      <w:r>
        <w:rPr>
          <w:bCs/>
          <w:b/>
        </w:rPr>
        <w:t xml:space="preserve">Date:</w:t>
      </w:r>
      <w:r>
        <w:t xml:space="preserve"> </w:t>
      </w:r>
      <w:r>
        <w:t xml:space="preserve">October 26, 2023</w:t>
      </w:r>
      <w:r>
        <w:br/>
      </w:r>
      <w:r>
        <w:rPr>
          <w:bCs/>
          <w:b/>
        </w:rPr>
        <w:t xml:space="preserve">Prepared By:</w:t>
      </w:r>
      <w:r>
        <w:t xml:space="preserve"> </w:t>
      </w:r>
      <w:r>
        <w:t xml:space="preserve">[Your Name], Senior Marketing Manager, Munich Hub</w:t>
      </w:r>
    </w:p>
    <w:bookmarkStart w:id="20" w:name="executive-summary"/>
    <w:p>
      <w:pPr>
        <w:pStyle w:val="Heading2"/>
      </w:pPr>
      <w:r>
        <w:t xml:space="preserve">Executive Summary</w:t>
      </w:r>
    </w:p>
    <w:p>
      <w:pPr>
        <w:pStyle w:val="FirstParagraph"/>
      </w:pPr>
      <w:r>
        <w:t xml:space="preserve">This comprehensive Sales Report details the Q3 2023 performance metrics and strategic initiatives led by our Marketing Manager team in the critical Germany Munich market. As the economic nerve center of Southern Germany and a key innovation hub within the European Union, Munich presents unique opportunities requiring hyper-localized marketing expertise. Our Marketing Manager executed targeted campaigns that drove a 18.7% year-over-year sales increase in the premium B2B segment, significantly outperforming regional benchmarks by 42%. This report validates how specialized market knowledge combined with agile digital strategies delivers measurable revenue impact in Germany's most competitive urban market.</w:t>
      </w:r>
    </w:p>
    <w:bookmarkEnd w:id="20"/>
    <w:bookmarkStart w:id="21" w:name="X4c9054066769a1ab13c02d21b39a4c1048758ec"/>
    <w:p>
      <w:pPr>
        <w:pStyle w:val="Heading2"/>
      </w:pPr>
      <w:r>
        <w:t xml:space="preserve">Market Context: Munich's Strategic Importance</w:t>
      </w:r>
    </w:p>
    <w:p>
      <w:pPr>
        <w:pStyle w:val="FirstParagraph"/>
      </w:pPr>
      <w:r>
        <w:t xml:space="preserve">Munich remains Germany's fourth-largest city and a global powerhouse for automotive engineering, IT innovation, and sustainable technology. With 1.5 million residents and hosting HQs of BMW, Siemens, and Allianz, the market demands marketing precision that respects German business culture while leveraging digital transformation trends. Our Marketing Manager understood this complexity immediately – recognizing that generic campaigns fail in Munich's high-value B2B landscape where relationship-building precedes transactional engagement. The region's 3.2% GDP growth rate (vs 1.8% national average) further underscores its economic significance to our global strategy.</w:t>
      </w:r>
    </w:p>
    <w:bookmarkEnd w:id="21"/>
    <w:bookmarkStart w:id="23" w:name="X4154a4614f522c232ab14e5df50d3e1b33059d9"/>
    <w:p>
      <w:pPr>
        <w:pStyle w:val="Heading2"/>
      </w:pPr>
      <w:r>
        <w:t xml:space="preserve">Key Performance Indicators: Q3 2023 Results</w:t>
      </w:r>
    </w:p>
    <w:p>
      <w:pPr>
        <w:pStyle w:val="FirstParagraph"/>
      </w:pPr>
      <w:r>
        <w:t xml:space="preserve">KPI</w:t>
      </w:r>
    </w:p>
    <w:p>
      <w:pPr>
        <w:pStyle w:val="BodyText"/>
      </w:pPr>
      <w:r>
        <w:t xml:space="preserve">Q3 2023 Target</w:t>
      </w:r>
    </w:p>
    <w:p>
      <w:pPr>
        <w:pStyle w:val="BodyText"/>
      </w:pPr>
      <w:r>
        <w:t xml:space="preserve">Actual Result</w:t>
      </w:r>
    </w:p>
    <w:p>
      <w:pPr>
        <w:pStyle w:val="BodyText"/>
      </w:pPr>
      <w:r>
        <w:t xml:space="preserve">Variance</w:t>
      </w:r>
    </w:p>
    <w:p>
      <w:pPr>
        <w:pStyle w:val="BodyText"/>
      </w:pPr>
      <w:r>
        <w:t xml:space="preserve">Munich Market Share Change</w:t>
      </w:r>
    </w:p>
    <w:p>
      <w:pPr>
        <w:pStyle w:val="BodyText"/>
      </w:pPr>
      <w:r>
        <w:t xml:space="preserve">Revenue Growth (B2B Segment)</w:t>
      </w:r>
    </w:p>
    <w:p>
      <w:pPr>
        <w:pStyle w:val="BodyText"/>
      </w:pPr>
      <w:r>
        <w:t xml:space="preserve">+12.5%</w:t>
      </w:r>
    </w:p>
    <w:p>
      <w:pPr>
        <w:pStyle w:val="BodyText"/>
      </w:pPr>
      <w:r>
        <w:t xml:space="preserve">+18.7%</w:t>
      </w:r>
    </w:p>
    <w:p>
      <w:pPr>
        <w:pStyle w:val="BodyText"/>
      </w:pPr>
      <w:r>
        <w:t xml:space="preserve">+6.2%</w:t>
      </w:r>
    </w:p>
    <w:p>
      <w:pPr>
        <w:pStyle w:val="BodyText"/>
      </w:pPr>
      <w:r>
        <w:t xml:space="preserve">Increased 3.8% points</w:t>
      </w:r>
    </w:p>
    <w:p>
      <w:pPr>
        <w:pStyle w:val="BodyText"/>
      </w:pPr>
      <w:r>
        <w:t xml:space="preserve">Placeholder row for accessibility</w:t>
      </w:r>
    </w:p>
    <w:p>
      <w:pPr>
        <w:pStyle w:val="BodyText"/>
      </w:pPr>
      <w:r>
        <w:t xml:space="preserve">Lead Conversion Rate</w:t>
      </w:r>
    </w:p>
    <w:p>
      <w:pPr>
        <w:pStyle w:val="BodyText"/>
      </w:pPr>
      <w:r>
        <w:t xml:space="preserve">24%</w:t>
      </w:r>
    </w:p>
    <w:p>
      <w:pPr>
        <w:pStyle w:val="BodyText"/>
      </w:pPr>
      <w:r>
        <w:t xml:space="preserve">&lt;</w:t>
      </w:r>
    </w:p>
    <w:p>
      <w:pPr>
        <w:pStyle w:val="BodyText"/>
      </w:pPr>
      <w:r>
        <w:t xml:space="preserve">31.4%</w:t>
      </w:r>
    </w:p>
    <w:p>
      <w:pPr>
        <w:pStyle w:val="BodyText"/>
      </w:pPr>
      <w:r>
        <w:t xml:space="preserve">+7.4%</w:t>
      </w:r>
    </w:p>
    <w:p>
      <w:pPr>
        <w:pStyle w:val="BodyText"/>
      </w:pPr>
      <w:r>
        <w:t xml:space="preserve">New high for Munich market</w:t>
      </w:r>
    </w:p>
    <w:p>
      <w:pPr>
        <w:pStyle w:val="BodyText"/>
      </w:pPr>
      <w:r>
        <w:t xml:space="preserve">CAC (Customer Acquisition Cost)</w:t>
      </w:r>
    </w:p>
    <w:p>
      <w:pPr>
        <w:pStyle w:val="BodyText"/>
      </w:pPr>
      <w:r>
        <w:t xml:space="preserve">€2,850</w:t>
      </w:r>
    </w:p>
    <w:p>
      <w:pPr>
        <w:pStyle w:val="BodyText"/>
      </w:pPr>
      <w:r>
        <w:t xml:space="preserve">€2,105</w:t>
      </w:r>
    </w:p>
    <w:bookmarkStart w:id="22" w:name="X5e8b4f2e172f790b8bf9987d9b2657c9ff37dd1"/>
    <w:p>
      <w:pPr>
        <w:pStyle w:val="Heading3"/>
      </w:pPr>
      <w:r>
        <w:t xml:space="preserve">Strategic Campaign Highlights: Munich-Specific Execution</w:t>
      </w:r>
    </w:p>
    <w:p>
      <w:pPr>
        <w:pStyle w:val="FirstParagraph"/>
      </w:pPr>
      <w:r>
        <w:t xml:space="preserve">Our Marketing Manager implemented three regionally tailored initiatives that exemplified Germany Munich's market nuances:</w:t>
      </w:r>
    </w:p>
    <w:p>
      <w:pPr>
        <w:numPr>
          <w:ilvl w:val="0"/>
          <w:numId w:val="1001"/>
        </w:numPr>
        <w:pStyle w:val="Compact"/>
      </w:pPr>
      <w:r>
        <w:rPr>
          <w:bCs/>
          <w:b/>
        </w:rPr>
        <w:t xml:space="preserve">Munich Innovation Summit 2023:</w:t>
      </w:r>
      <w:r>
        <w:t xml:space="preserve"> </w:t>
      </w:r>
      <w:r>
        <w:t xml:space="preserve">Hosted at the iconic BMW Welt, this event attracted 1,200+ German industry leaders. The Marketing Manager coordinated with local chambers of commerce and tailored content around Munich's "GreenTech Hub" initiative, generating €4.7M in qualified leads (35% from new enterprise clients).</w:t>
      </w:r>
    </w:p>
    <w:p>
      <w:pPr>
        <w:numPr>
          <w:ilvl w:val="0"/>
          <w:numId w:val="1001"/>
        </w:numPr>
        <w:pStyle w:val="Compact"/>
      </w:pPr>
      <w:r>
        <w:rPr>
          <w:bCs/>
          <w:b/>
        </w:rPr>
        <w:t xml:space="preserve">Regionalized Social Media Strategy:</w:t>
      </w:r>
      <w:r>
        <w:t xml:space="preserve"> </w:t>
      </w:r>
      <w:r>
        <w:t xml:space="preserve">Leveraging Munich's preference for professional networking over casual social media, our Marketing Manager shifted 85% of ad spend to LinkedIn and Xing with German-language content optimized for Bavarian business etiquette. This reduced bounce rates by 29% and increased session duration by 41%.</w:t>
      </w:r>
    </w:p>
    <w:p>
      <w:pPr>
        <w:numPr>
          <w:ilvl w:val="0"/>
          <w:numId w:val="1001"/>
        </w:numPr>
        <w:pStyle w:val="Compact"/>
      </w:pPr>
      <w:r>
        <w:rPr>
          <w:bCs/>
          <w:b/>
        </w:rPr>
        <w:t xml:space="preserve">Partnership with Munich University Network:</w:t>
      </w:r>
      <w:r>
        <w:t xml:space="preserve"> </w:t>
      </w:r>
      <w:r>
        <w:t xml:space="preserve">Collaborated with TUM (Technical University of Munich) on joint research projects, positioning our brand as an academic partner rather than a vendor. Resulted in 37 new enterprise contracts through the university's corporate relations channel.</w:t>
      </w:r>
    </w:p>
    <w:bookmarkEnd w:id="22"/>
    <w:bookmarkEnd w:id="23"/>
    <w:bookmarkStart w:id="24" w:name="Xe7433cbbc14c71e21d059bcce380ad04c0da15e"/>
    <w:p>
      <w:pPr>
        <w:pStyle w:val="Heading2"/>
      </w:pPr>
      <w:r>
        <w:t xml:space="preserve">Competitive Analysis: Navigating Munich's Unique Landscape</w:t>
      </w:r>
    </w:p>
    <w:p>
      <w:pPr>
        <w:pStyle w:val="FirstParagraph"/>
      </w:pPr>
      <w:r>
        <w:t xml:space="preserve">Unlike other German regions, Munich competitors like Siemens Mobility and local startups leverage Bavarian cultural nuances. Our Marketing Manager conducted deep competitive analysis focusing on:</w:t>
      </w:r>
    </w:p>
    <w:p>
      <w:pPr>
        <w:numPr>
          <w:ilvl w:val="0"/>
          <w:numId w:val="1002"/>
        </w:numPr>
        <w:pStyle w:val="Compact"/>
      </w:pPr>
      <w:r>
        <w:rPr>
          <w:bCs/>
          <w:b/>
        </w:rPr>
        <w:t xml:space="preserve">Cultural Intelligence:</w:t>
      </w:r>
      <w:r>
        <w:t xml:space="preserve"> </w:t>
      </w:r>
      <w:r>
        <w:t xml:space="preserve">Recognizing that Munich business culture values punctuality (15-minute meetings only) and formal communication – our campaigns eliminated casual emojis in all client touchpoints.</w:t>
      </w:r>
    </w:p>
    <w:p>
      <w:pPr>
        <w:numPr>
          <w:ilvl w:val="0"/>
          <w:numId w:val="1002"/>
        </w:numPr>
        <w:pStyle w:val="Compact"/>
      </w:pPr>
      <w:r>
        <w:rPr>
          <w:bCs/>
          <w:b/>
        </w:rPr>
        <w:t xml:space="preserve">Local Event Integration:</w:t>
      </w:r>
      <w:r>
        <w:t xml:space="preserve"> </w:t>
      </w:r>
      <w:r>
        <w:t xml:space="preserve">Partnering with Munich's annual "Innovation Days" event for exclusive content, rather than competing for generic trade show space. This drove a 52% increase in qualified demo requests.</w:t>
      </w:r>
    </w:p>
    <w:p>
      <w:pPr>
        <w:numPr>
          <w:ilvl w:val="0"/>
          <w:numId w:val="1002"/>
        </w:numPr>
        <w:pStyle w:val="Compact"/>
      </w:pPr>
      <w:r>
        <w:rPr>
          <w:bCs/>
          <w:b/>
        </w:rPr>
        <w:t xml:space="preserve">Digital Compliance Mastery:</w:t>
      </w:r>
      <w:r>
        <w:t xml:space="preserve"> </w:t>
      </w:r>
      <w:r>
        <w:t xml:space="preserve">Ensuring all campaigns adhered to Germany's strict GDPR and Telemedia Act requirements – critical for Munich's privacy-conscious enterprise clients.</w:t>
      </w:r>
    </w:p>
    <w:bookmarkEnd w:id="24"/>
    <w:bookmarkStart w:id="25" w:name="challenges-strategic-response"/>
    <w:p>
      <w:pPr>
        <w:pStyle w:val="Heading2"/>
      </w:pPr>
      <w:r>
        <w:t xml:space="preserve">Challenges &amp; Strategic Response</w:t>
      </w:r>
    </w:p>
    <w:p>
      <w:pPr>
        <w:pStyle w:val="FirstParagraph"/>
      </w:pPr>
      <w:r>
        <w:t xml:space="preserve">The Marketing Manager faced two significant challenges specific to Germany Munich:</w:t>
      </w:r>
    </w:p>
    <w:p>
      <w:pPr>
        <w:numPr>
          <w:ilvl w:val="0"/>
          <w:numId w:val="1003"/>
        </w:numPr>
        <w:pStyle w:val="Compact"/>
      </w:pPr>
      <w:r>
        <w:rPr>
          <w:bCs/>
          <w:b/>
        </w:rPr>
        <w:t xml:space="preserve">Supply Chain Disruptions:</w:t>
      </w:r>
      <w:r>
        <w:t xml:space="preserve"> </w:t>
      </w:r>
      <w:r>
        <w:t xml:space="preserve">With 73% of Munich-based manufacturers impacted by semiconductor shortages, the Marketing Manager pivoted campaigns toward "supply chain resilience" solutions. This repositioning captured 28% market share in the logistics tech category.</w:t>
      </w:r>
    </w:p>
    <w:p>
      <w:pPr>
        <w:numPr>
          <w:ilvl w:val="0"/>
          <w:numId w:val="1003"/>
        </w:numPr>
        <w:pStyle w:val="Compact"/>
      </w:pPr>
      <w:r>
        <w:rPr>
          <w:bCs/>
          <w:b/>
        </w:rPr>
        <w:t xml:space="preserve">Talent Retention in Creative Sector:</w:t>
      </w:r>
      <w:r>
        <w:t xml:space="preserve"> </w:t>
      </w:r>
      <w:r>
        <w:t xml:space="preserve">Munich's competitive creative industry led to 15% attrition risk among marketing staff. The Marketing Manager implemented localized retention programs including Munich-specific cultural workshops and "Bavarian Innovation Fridays," reducing turnover by 22%.</w:t>
      </w:r>
    </w:p>
    <w:bookmarkEnd w:id="25"/>
    <w:bookmarkStart w:id="26" w:name="Xfd6d28d5363f9873e12e4f16cf98cd32ee9bf9b"/>
    <w:p>
      <w:pPr>
        <w:pStyle w:val="Heading2"/>
      </w:pPr>
      <w:r>
        <w:t xml:space="preserve">Recommendations for Q4: Sustainable Growth in Germany Munich</w:t>
      </w:r>
    </w:p>
    <w:p>
      <w:pPr>
        <w:pStyle w:val="FirstParagraph"/>
      </w:pPr>
      <w:r>
        <w:t xml:space="preserve">Building on Q3 success, we recommend:</w:t>
      </w:r>
    </w:p>
    <w:p>
      <w:pPr>
        <w:numPr>
          <w:ilvl w:val="0"/>
          <w:numId w:val="1004"/>
        </w:numPr>
        <w:pStyle w:val="Compact"/>
      </w:pPr>
      <w:r>
        <w:rPr>
          <w:bCs/>
          <w:b/>
        </w:rPr>
        <w:t xml:space="preserve">Deepen Munich University Partnerships:</w:t>
      </w:r>
      <w:r>
        <w:t xml:space="preserve"> </w:t>
      </w:r>
      <w:r>
        <w:t xml:space="preserve">Develop a formal "Munich Innovation Fellowship" with TUM and LMU to secure early-stage enterprise partnerships.</w:t>
      </w:r>
    </w:p>
    <w:p>
      <w:pPr>
        <w:numPr>
          <w:ilvl w:val="0"/>
          <w:numId w:val="1004"/>
        </w:numPr>
        <w:pStyle w:val="Compact"/>
      </w:pPr>
      <w:r>
        <w:rPr>
          <w:bCs/>
          <w:b/>
        </w:rPr>
        <w:t xml:space="preserve">Leverage Munich's Sustainability Push:</w:t>
      </w:r>
      <w:r>
        <w:t xml:space="preserve"> </w:t>
      </w:r>
      <w:r>
        <w:t xml:space="preserve">Align Q4 campaigns with Bavaria's 2030 climate goals – our Marketing Manager should lead a "Green Tech Certification Program" for clients.</w:t>
      </w:r>
    </w:p>
    <w:p>
      <w:pPr>
        <w:numPr>
          <w:ilvl w:val="0"/>
          <w:numId w:val="1004"/>
        </w:numPr>
        <w:pStyle w:val="Compact"/>
      </w:pPr>
      <w:r>
        <w:rPr>
          <w:bCs/>
          <w:b/>
        </w:rPr>
        <w:t xml:space="preserve">Implement Regional Sales-Data Hub:</w:t>
      </w:r>
      <w:r>
        <w:t xml:space="preserve"> </w:t>
      </w:r>
      <w:r>
        <w:t xml:space="preserve">Create a Munich-specific CRM analytics dashboard tracking real-time market sentiment from local industry associations.</w:t>
      </w:r>
    </w:p>
    <w:bookmarkEnd w:id="26"/>
    <w:bookmarkStart w:id="27" w:name="conclusion-the-munich-advantage"/>
    <w:p>
      <w:pPr>
        <w:pStyle w:val="Heading2"/>
      </w:pPr>
      <w:r>
        <w:t xml:space="preserve">Conclusion: The Munich Advantage</w:t>
      </w:r>
    </w:p>
    <w:p>
      <w:pPr>
        <w:pStyle w:val="FirstParagraph"/>
      </w:pPr>
      <w:r>
        <w:t xml:space="preserve">This Sales Report conclusively demonstrates how specialized Marketing Manager expertise drives disproportionate results in the Germany Munich market. By treating Munich not as a generic German city but as a distinct economic ecosystem with its own cultural rhythms, innovation drivers, and competitive dynamics, our team achieved revenue growth that outperformed all other European hubs by 23%. The Marketing Manager's ability to translate global strategy into hyper-local execution – while respecting Bavarian business customs and market nuances – has become the benchmark for our entire European operation.</w:t>
      </w:r>
    </w:p>
    <w:p>
      <w:pPr>
        <w:pStyle w:val="BodyText"/>
      </w:pPr>
      <w:r>
        <w:t xml:space="preserve">As Germany continues its leadership in industrial innovation, Munich remains the critical testing ground for future growth. This Sales Report confirms that investing in regionally specialized marketing talent isn't just advantageous—it's essential to capturing sustainable value in Germany's most dynamic market. The Marketing Manager's Q3 success provides the blueprint for scaling similar performance across all German regions while maintaining Munich as our flagship innovation center.</w:t>
      </w:r>
    </w:p>
    <w:p>
      <w:pPr>
        <w:pStyle w:val="BodyText"/>
      </w:pPr>
      <w:r>
        <w:rPr>
          <w:bCs/>
          <w:b/>
        </w:rPr>
        <w:t xml:space="preserve">Appendix Note:</w:t>
      </w:r>
      <w:r>
        <w:t xml:space="preserve"> </w:t>
      </w:r>
      <w:r>
        <w:t xml:space="preserve">Full sales data, campaign analytics, and Munich-specific demographic reports available upon request through the Munich Regional Hub (Munich Sales Analytics Portal).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Marketing Manager Performance in Germany Munich</dc:title>
  <dc:creator/>
  <dc:language>en</dc:language>
  <cp:keywords/>
  <dcterms:created xsi:type="dcterms:W3CDTF">2025-12-11T06:30:01Z</dcterms:created>
  <dcterms:modified xsi:type="dcterms:W3CDTF">2025-12-11T06:30:01Z</dcterms:modified>
</cp:coreProperties>
</file>

<file path=docProps/custom.xml><?xml version="1.0" encoding="utf-8"?>
<Properties xmlns="http://schemas.openxmlformats.org/officeDocument/2006/custom-properties" xmlns:vt="http://schemas.openxmlformats.org/officeDocument/2006/docPropsVTypes"/>
</file>