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Osaka</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Review</w:t>
      </w:r>
    </w:p>
    <w:bookmarkStart w:id="31" w:name="X40a29ecdff0d296dfc42777e2240fb2ffd893bc"/>
    <w:p>
      <w:pPr>
        <w:pStyle w:val="Heading1"/>
      </w:pPr>
      <w:r>
        <w:t xml:space="preserve">JAPAN OSAKA SALES REPORT &amp; MARKETING MANAGER PERFORMANCE ANALYSIS</w:t>
      </w:r>
    </w:p>
    <w:bookmarkStart w:id="20" w:name="executive-summary"/>
    <w:p>
      <w:pPr>
        <w:pStyle w:val="Heading2"/>
      </w:pPr>
      <w:r>
        <w:t xml:space="preserve">Executive Summary</w:t>
      </w:r>
    </w:p>
    <w:p>
      <w:pPr>
        <w:pStyle w:val="FirstParagraph"/>
      </w:pPr>
      <w:r>
        <w:t xml:space="preserve">This comprehensive Sales Report details the performance metrics, strategic initiatives, and market dynamics for the Marketing Manager overseeing operations in Japan Osaka during Q3 2023. The report demonstrates how targeted marketing strategies implemented by our dedicated Marketing Manager have driven significant growth in a highly competitive Osaka market. With Osaka representing 18% of our total Japanese revenue and a projected 12% annual growth rate, this Sales Report underscores the critical role of localized marketing execution under the leadership of the Japan Osaka Marketing Manager.</w:t>
      </w:r>
    </w:p>
    <w:p>
      <w:pPr>
        <w:pStyle w:val="BodyText"/>
      </w:pPr>
      <w:r>
        <w:t xml:space="preserve">Key achievements include a 23.7% year-over-year increase in market share within Osaka's premium consumer electronics segment and exceeding quarterly sales targets by 15.2%. These results validate our investment in a region-specific marketing approach, where the Marketing Manager has successfully adapted global campaigns to resonate with Osaka's unique cultural nuances and consumer preferences.</w:t>
      </w:r>
    </w:p>
    <w:bookmarkEnd w:id="20"/>
    <w:bookmarkStart w:id="21" w:name="Xd924bb40be3cd21e81179fcb01d9b67221dcadf"/>
    <w:p>
      <w:pPr>
        <w:pStyle w:val="Heading2"/>
      </w:pPr>
      <w:r>
        <w:t xml:space="preserve">Q3 2023 Sales Performance: Japan Osaka Market</w:t>
      </w:r>
    </w:p>
    <w:p>
      <w:pPr>
        <w:pStyle w:val="FirstParagraph"/>
      </w:pPr>
      <w:r>
        <w:t xml:space="preserve">Key Metric</w:t>
      </w:r>
    </w:p>
    <w:bookmarkEnd w:id="21"/>
    <w:p>
      <w:pPr>
        <w:pStyle w:val="BodyText"/>
      </w:pPr>
      <w:r>
        <w:t xml:space="preserve">Q3 2023 Actual</w:t>
      </w:r>
    </w:p>
    <w:p>
      <w:pPr>
        <w:pStyle w:val="BodyText"/>
      </w:pPr>
      <w:r>
        <w:t xml:space="preserve">Q3 2022 Actual</w:t>
      </w:r>
    </w:p>
    <w:p>
      <w:pPr>
        <w:pStyle w:val="BodyText"/>
      </w:pPr>
      <w:r>
        <w:t xml:space="preserve">YoY Change</w:t>
      </w:r>
    </w:p>
    <w:p>
      <w:pPr>
        <w:pStyle w:val="BodyText"/>
      </w:pPr>
      <w:r>
        <w:t xml:space="preserve">Budget Target</w:t>
      </w:r>
    </w:p>
    <w:p>
      <w:pPr>
        <w:pStyle w:val="BodyText"/>
      </w:pPr>
      <w:r>
        <w:t xml:space="preserve">Total Sales Revenue (JPY)</w:t>
      </w:r>
    </w:p>
    <w:p>
      <w:pPr>
        <w:pStyle w:val="BodyText"/>
      </w:pPr>
      <w:r>
        <w:t xml:space="preserve">¥487,500,000</w:t>
      </w:r>
    </w:p>
    <w:p>
      <w:pPr>
        <w:pStyle w:val="BodyText"/>
      </w:pPr>
      <w:r>
        <w:t xml:space="preserve">¥394,250,000</w:t>
      </w:r>
    </w:p>
    <w:p>
      <w:pPr>
        <w:pStyle w:val="BodyText"/>
      </w:pPr>
      <w:r>
        <w:t xml:space="preserve">+23.7%</w:t>
      </w:r>
    </w:p>
    <w:p>
      <w:pPr>
        <w:pStyle w:val="BodyText"/>
      </w:pPr>
      <w:r>
        <w:t xml:space="preserve">¥426,856,391</w:t>
      </w:r>
    </w:p>
    <w:p>
      <w:pPr>
        <w:pStyle w:val="BodyText"/>
      </w:pPr>
      <w:r>
        <w:t xml:space="preserve">Market Share in Osaka (Premium Segment)</w:t>
      </w:r>
    </w:p>
    <w:p>
      <w:pPr>
        <w:pStyle w:val="BodyText"/>
      </w:pPr>
      <w:r>
        <w:t xml:space="preserve">28.4%</w:t>
      </w:r>
    </w:p>
    <w:p>
      <w:pPr>
        <w:pStyle w:val="BodyText"/>
      </w:pPr>
      <w:r>
        <w:t xml:space="preserve">24.1%</w:t>
      </w:r>
    </w:p>
    <w:p>
      <w:pPr>
        <w:pStyle w:val="BodyText"/>
      </w:pPr>
      <w:r>
        <w:t xml:space="preserve">+4.3pp</w:t>
      </w:r>
    </w:p>
    <w:p>
      <w:pPr>
        <w:pStyle w:val="BodyText"/>
      </w:pPr>
      <w:r>
        <w:t xml:space="preserve">25.0%</w:t>
      </w:r>
    </w:p>
    <w:p>
      <w:pPr>
        <w:pStyle w:val="BodyText"/>
      </w:pPr>
      <w:r>
        <w:t xml:space="preserve">New Customer Acquisition</w:t>
      </w:r>
    </w:p>
    <w:p>
      <w:pPr>
        <w:pStyle w:val="BodyText"/>
      </w:pPr>
      <w:r>
        <w:t xml:space="preserve">1,875</w:t>
      </w:r>
    </w:p>
    <w:p>
      <w:pPr>
        <w:pStyle w:val="BodyText"/>
      </w:pPr>
      <w:r>
        <w:t xml:space="preserve">The Japan Osaka Marketing Manager's strategic pivot toward experiential marketing significantly contributed to these results. By leveraging Osaka's vibrant local culture—particularly the "Osaka-ryōri" (Osaka cuisine) festival season—the Marketing Manager orchestrated a campaign that combined product demonstrations with traditional food experiences, generating 32% higher engagement than previous campaigns. This localized approach directly addressed Osaka consumers' preference for tactile brand interactions over digital-only marketing.</w:t>
      </w:r>
    </w:p>
    <w:bookmarkStart w:id="25" w:name="Xa6b54093f7bbcd7cb8392163ada2a999cfb8998"/>
    <w:p>
      <w:pPr>
        <w:pStyle w:val="Heading2"/>
      </w:pPr>
      <w:r>
        <w:t xml:space="preserve">Strategic Initiatives Led by the Marketing Manager</w:t>
      </w:r>
    </w:p>
    <w:bookmarkStart w:id="22" w:name="hyper-localized-digital-campaigns"/>
    <w:p>
      <w:pPr>
        <w:pStyle w:val="Heading3"/>
      </w:pPr>
      <w:r>
        <w:t xml:space="preserve">1. Hyper-Localized Digital Campaigns</w:t>
      </w:r>
    </w:p>
    <w:p>
      <w:pPr>
        <w:pStyle w:val="FirstParagraph"/>
      </w:pPr>
      <w:r>
        <w:t xml:space="preserve">The Japan Osaka Marketing Manager implemented a data-driven social media strategy targeting Osaka-specific interests, including 50+ localized content pieces featuring Kansai dialect usage and references to local landmarks (e.g., Dōtonbori, Kuromon Market). This initiative increased Instagram engagement by 68% and directly contributed to the 23.7% sales growth. The Marketing Manager's understanding of Osaka's digital ecosystem—particularly the dominance of LINE over other messaging platforms—was critical to this success.</w:t>
      </w:r>
    </w:p>
    <w:bookmarkEnd w:id="22"/>
    <w:bookmarkStart w:id="23" w:name="retail-partnership-optimization"/>
    <w:p>
      <w:pPr>
        <w:pStyle w:val="Heading3"/>
      </w:pPr>
      <w:r>
        <w:t xml:space="preserve">2. Retail Partnership Optimization</w:t>
      </w:r>
    </w:p>
    <w:p>
      <w:pPr>
        <w:pStyle w:val="FirstParagraph"/>
      </w:pPr>
      <w:r>
        <w:t xml:space="preserve">Working closely with key Osaka retailers like Takashimaya Department Store and Namba Yasuda, the Marketing Manager restructured in-store experiences. This included creating dedicated "Osaka Experience Zones" featuring local influencers and seasonal product bundles. These partnerships generated ¥112 million in incremental sales, exceeding targets by 27%. The Marketing Manager's negotiation skills secured exclusive promotional rights that competitors couldn't replicate.</w:t>
      </w:r>
    </w:p>
    <w:bookmarkEnd w:id="23"/>
    <w:bookmarkStart w:id="24" w:name="cultural-intelligence-integration"/>
    <w:p>
      <w:pPr>
        <w:pStyle w:val="Heading3"/>
      </w:pPr>
      <w:r>
        <w:t xml:space="preserve">3. Cultural Intelligence Integration</w:t>
      </w:r>
    </w:p>
    <w:p>
      <w:pPr>
        <w:pStyle w:val="FirstParagraph"/>
      </w:pPr>
      <w:r>
        <w:t xml:space="preserve">Recognizing Osaka's distinct "kansai-geiko" (regional etiquette) preferences, the Marketing Manager trained all regional staff on local business customs. This resulted in a 41% reduction in customer service complaints and strengthened relationships with Osaka's 200+ key retail partners. The Sales Report notes this cultural adaptation as the primary differentiator from our competitors' standardized approaches.</w:t>
      </w:r>
    </w:p>
    <w:bookmarkEnd w:id="24"/>
    <w:bookmarkEnd w:id="25"/>
    <w:bookmarkStart w:id="27" w:name="X9f37eab524a95fddd9d0877202bea03eec3348b"/>
    <w:p>
      <w:pPr>
        <w:pStyle w:val="Heading2"/>
      </w:pPr>
      <w:r>
        <w:t xml:space="preserve">Market Analysis: Japan Osaka Consumer Trends</w:t>
      </w:r>
    </w:p>
    <w:p>
      <w:pPr>
        <w:pStyle w:val="FirstParagraph"/>
      </w:pPr>
      <w:r>
        <w:t xml:space="preserve">Osaka's market dynamics require specialized attention from the Marketing Manager. As evidenced in this Sales Report, 78% of consumers prioritize "local relevance" over global brand consistency—a critical insight driving the Marketing Manager's strategy. The city's aging population (31% over 65) necessitated a dual-channel approach: while younger demographics responded to TikTok campaigns featuring Osaka influencers, senior customers engaged through radio ads on Nippon Ham Radio and in-store demos.</w:t>
      </w:r>
    </w:p>
    <w:p>
      <w:pPr>
        <w:pStyle w:val="BodyText"/>
      </w:pPr>
      <w:r>
        <w:t xml:space="preserve">"The Marketing Manager's ability to translate macro-trends into actionable Osaka-specific tactics was exceptional. By analyzing the 'Osaka Love' sentiment data during the Gion Matsuri festival period, they adjusted inventory allocation to increase stock of our summer collection by 35%—directly capturing a 19% sales spike during that window."</w:t>
      </w:r>
    </w:p>
    <w:p>
      <w:pPr>
        <w:pStyle w:val="BodyText"/>
      </w:pPr>
      <w:r>
        <w:t xml:space="preserve">- Regional Sales Director, Japan</w:t>
      </w:r>
    </w:p>
    <w:bookmarkStart w:id="26" w:name="competitive-landscape-shifts"/>
    <w:p>
      <w:pPr>
        <w:pStyle w:val="Heading3"/>
      </w:pPr>
      <w:r>
        <w:t xml:space="preserve">Competitive Landscape Shifts</w:t>
      </w:r>
    </w:p>
    <w:p>
      <w:pPr>
        <w:pStyle w:val="FirstParagraph"/>
      </w:pPr>
      <w:r>
        <w:t xml:space="preserve">Local competitor "Kansai Tech" launched aggressive pricing tactics in July, but the Japan Osaka Marketing Manager countered by emphasizing premium service value through our "Osaka Care Guarantee"—a 48-hour same-city delivery promise with personalized setup. This strategic differentiator preserved our market share despite competitive price pressures.</w:t>
      </w:r>
    </w:p>
    <w:bookmarkEnd w:id="26"/>
    <w:bookmarkEnd w:id="27"/>
    <w:bookmarkStart w:id="28" w:name="X86590370cf7f763a645a135ca28ed2c683ca3d2"/>
    <w:p>
      <w:pPr>
        <w:pStyle w:val="Heading2"/>
      </w:pPr>
      <w:r>
        <w:t xml:space="preserve">Challenges &amp; Solutions (Marketing Manager's Strategic Response)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Marketing Manager's Action</w:t>
            </w:r>
          </w:p>
        </w:tc>
        <w:tc>
          <w:tcPr/>
          <w:p>
            <w:pPr>
              <w:pStyle w:val="Compact"/>
              <w:jc w:val="left"/>
            </w:pPr>
            <w:r>
              <w:t xml:space="preserve">Result</w:t>
            </w:r>
          </w:p>
        </w:tc>
      </w:tr>
      <w:tr>
        <w:tc>
          <w:tcPr/>
          <w:p>
            <w:pPr>
              <w:pStyle w:val="Compact"/>
              <w:jc w:val="left"/>
            </w:pPr>
            <w:r>
              <w:t xml:space="preserve">Fall-off in Gen Z engagement after 2022 campaign fatigue</w:t>
            </w:r>
          </w:p>
        </w:tc>
        <w:tc>
          <w:tcPr/>
          <w:p>
            <w:pPr>
              <w:pStyle w:val="Compact"/>
              <w:jc w:val="left"/>
            </w:pPr>
            <w:r>
              <w:t xml:space="preserve">Leveraged Osaka University partnerships for student ambassador program with local influencer co-creation</w:t>
            </w:r>
          </w:p>
        </w:tc>
        <w:tc>
          <w:tcPr/>
          <w:p>
            <w:pPr>
              <w:pStyle w:val="Compact"/>
              <w:jc w:val="left"/>
            </w:pPr>
            <w:r>
              <w:t xml:space="preserve">+53% Gen Z social reach; 41% new user acquisition</w:t>
            </w:r>
          </w:p>
        </w:tc>
      </w:tr>
      <w:tr>
        <w:tc>
          <w:tcPr/>
          <w:p>
            <w:pPr>
              <w:pStyle w:val="Compact"/>
              <w:jc w:val="left"/>
            </w:pPr>
            <w:r>
              <w:t xml:space="preserve">Supply chain disruption affecting Osaka inventory</w:t>
            </w:r>
          </w:p>
        </w:tc>
        <w:tc>
          <w:tcPr/>
          <w:p>
            <w:pPr>
              <w:pStyle w:val="Compact"/>
              <w:jc w:val="left"/>
            </w:pPr>
            <w:r>
              <w:t xml:space="preserve">Collaborated with local logistics partner Nippon Express for Osaka-only warehousing solution</w:t>
            </w:r>
          </w:p>
        </w:tc>
        <w:tc>
          <w:tcPr/>
          <w:p>
            <w:pPr>
              <w:pStyle w:val="Compact"/>
              <w:jc w:val="left"/>
            </w:pPr>
            <w:r>
              <w:t xml:space="preserve">98% product availability; 0 stockout incidents in Q3</w:t>
            </w:r>
          </w:p>
        </w:tc>
      </w:tr>
      <w:tr>
        <w:tc>
          <w:tcPr/>
          <w:p>
            <w:pPr>
              <w:pStyle w:val="Compact"/>
              <w:jc w:val="left"/>
            </w:pPr>
            <w:r>
              <w:t xml:space="preserve">Cultural missteps in previous campaigns (e.g., inappropriate festival references)</w:t>
            </w:r>
          </w:p>
        </w:tc>
        <w:tc>
          <w:tcPr/>
          <w:p>
            <w:pPr>
              <w:pStyle w:val="Compact"/>
              <w:jc w:val="left"/>
            </w:pPr>
            <w:r>
              <w:t xml:space="preserve">Established internal "Osaka Cultural Advisory Board" with local residents</w:t>
            </w:r>
          </w:p>
        </w:tc>
        <w:tc>
          <w:tcPr/>
          <w:p>
            <w:pPr>
              <w:pStyle w:val="Compact"/>
              <w:jc w:val="left"/>
            </w:pPr>
            <w:r>
              <w:t xml:space="preserve">Zero brand sensitivity issues; +22% brand affinity score</w:t>
            </w:r>
          </w:p>
        </w:tc>
      </w:tr>
    </w:tbl>
    <w:bookmarkEnd w:id="28"/>
    <w:bookmarkStart w:id="29" w:name="X2f1f1a5eb961ec9a75b3369b2ae5715e1c54242"/>
    <w:p>
      <w:pPr>
        <w:pStyle w:val="Heading2"/>
      </w:pPr>
      <w:r>
        <w:t xml:space="preserve">Future Recommendations for Japan Osaka Marketing Manager</w:t>
      </w:r>
    </w:p>
    <w:p>
      <w:pPr>
        <w:pStyle w:val="FirstParagraph"/>
      </w:pPr>
      <w:r>
        <w:t xml:space="preserve">Based on this Sales Report, we recommend the following strategic priorities for the Japan Osaka Marketing Manager in Q4:</w:t>
      </w:r>
    </w:p>
    <w:p>
      <w:pPr>
        <w:numPr>
          <w:ilvl w:val="0"/>
          <w:numId w:val="1001"/>
        </w:numPr>
        <w:pStyle w:val="Compact"/>
      </w:pPr>
      <w:r>
        <w:rPr>
          <w:bCs/>
          <w:b/>
        </w:rPr>
        <w:t xml:space="preserve">Prioritize AI-Powered Localized Content:</w:t>
      </w:r>
      <w:r>
        <w:t xml:space="preserve"> </w:t>
      </w:r>
      <w:r>
        <w:t xml:space="preserve">Deploy AI tools to analyze real-time Osaka social sentiment during festivals (e.g., Tenjin Matsuri) for micro-campaign adjustments.</w:t>
      </w:r>
    </w:p>
    <w:p>
      <w:pPr>
        <w:numPr>
          <w:ilvl w:val="0"/>
          <w:numId w:val="1001"/>
        </w:numPr>
        <w:pStyle w:val="Compact"/>
      </w:pPr>
      <w:r>
        <w:rPr>
          <w:bCs/>
          <w:b/>
        </w:rPr>
        <w:t xml:space="preserve">Expand "Osaka-First" Product Innovation:</w:t>
      </w:r>
      <w:r>
        <w:t xml:space="preserve"> </w:t>
      </w:r>
      <w:r>
        <w:t xml:space="preserve">Co-develop limited editions with local artisans (e.g., Kintsugi-inspired packaging) to deepen cultural connection.</w:t>
      </w:r>
    </w:p>
    <w:p>
      <w:pPr>
        <w:numPr>
          <w:ilvl w:val="0"/>
          <w:numId w:val="1001"/>
        </w:numPr>
        <w:pStyle w:val="Compact"/>
      </w:pPr>
      <w:r>
        <w:rPr>
          <w:bCs/>
          <w:b/>
        </w:rPr>
        <w:t xml:space="preserve">Build Regional Marketing Talent Pipeline:</w:t>
      </w:r>
      <w:r>
        <w:t xml:space="preserve"> </w:t>
      </w:r>
      <w:r>
        <w:t xml:space="preserve">Create Osaka-specific training for new Marketing Managers to accelerate cultural onboarding.</w:t>
      </w:r>
    </w:p>
    <w:p>
      <w:pPr>
        <w:pStyle w:val="FirstParagraph"/>
      </w:pPr>
      <w:r>
        <w:t xml:space="preserve">The Japan Osaka Marketing Manager must continue leading with hyper-local insights—this Sales Report confirms that success in Osaka isn't about scaling global campaigns, but embedding our strategy within the city's unique cultural heartbeat. As we approach 2024, maintaining this specialized focus will be paramount to capturing Osaka's projected ¥5.3 billion premium electronics market.</w:t>
      </w:r>
    </w:p>
    <w:bookmarkEnd w:id="29"/>
    <w:bookmarkStart w:id="30" w:name="conclusion"/>
    <w:p>
      <w:pPr>
        <w:pStyle w:val="Heading2"/>
      </w:pPr>
      <w:r>
        <w:t xml:space="preserve">Conclusion</w:t>
      </w:r>
    </w:p>
    <w:p>
      <w:pPr>
        <w:pStyle w:val="FirstParagraph"/>
      </w:pPr>
      <w:r>
        <w:t xml:space="preserve">This Sales Report unequivocally demonstrates how the Japan Osaka Marketing Manager's culturally attuned leadership has transformed our regional performance. By rejecting one-size-fits-all marketing and instead embracing Osaka's distinct identity—through language, traditions, and consumer psychology—the Marketing Manager has not only exceeded targets but redefined market expectations in this critical Japanese city.</w:t>
      </w:r>
    </w:p>
    <w:p>
      <w:pPr>
        <w:pStyle w:val="BodyText"/>
      </w:pPr>
      <w:r>
        <w:t xml:space="preserve">The data proves that for the Japan Osaka market, success requires a Marketing Manager who lives the local culture—not just manages it. This Sales Report serves as both a celebration of current achievements and a blueprint for future growth, affirming that our Osaka strategy is now industry-leading in Japan's most dynamic consumer market. We commend the dedicated efforts of our Japan Osaka Marketing Manager and look forward to continued success in driving regional excellence.</w:t>
      </w:r>
    </w:p>
    <w:p>
      <w:pPr>
        <w:pStyle w:val="BodyText"/>
      </w:pPr>
      <w:r>
        <w:t xml:space="preserve">Prepared by: Global Sales Analytics Team</w:t>
      </w:r>
      <w:r>
        <w:br/>
      </w:r>
      <w:r>
        <w:t xml:space="preserve">Date: October 26, 2023</w:t>
      </w:r>
      <w:r>
        <w:br/>
      </w:r>
      <w:r>
        <w:t xml:space="preserve">For: Japan Osaka Regional Leadership &amp; Executive Board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Osaka Sales Report: Marketing Manager Performance Review</dc:title>
  <dc:creator/>
  <dc:language>en</dc:language>
  <cp:keywords/>
  <dcterms:created xsi:type="dcterms:W3CDTF">2025-12-11T17:25:52Z</dcterms:created>
  <dcterms:modified xsi:type="dcterms:W3CDTF">2025-12-11T17:25:52Z</dcterms:modified>
</cp:coreProperties>
</file>

<file path=docProps/custom.xml><?xml version="1.0" encoding="utf-8"?>
<Properties xmlns="http://schemas.openxmlformats.org/officeDocument/2006/custom-properties" xmlns:vt="http://schemas.openxmlformats.org/officeDocument/2006/docPropsVTypes"/>
</file>