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fe80ccab02002eaf40d8c496a0654f6f0142fcb"/>
    <w:p>
      <w:pPr>
        <w:pStyle w:val="Heading1"/>
      </w:pPr>
      <w:r>
        <w:t xml:space="preserve">Sales Report: Strategic Marketing Performance Analysis for Malaysia Kuala Lumpur Market</w:t>
      </w:r>
    </w:p>
    <w:bookmarkStart w:id="31" w:name="Xca2350439569b05d14808394f37188f98006e62"/>
    <w:p>
      <w:pPr>
        <w:pStyle w:val="Heading2"/>
      </w:pPr>
      <w:r>
        <w:t xml:space="preserve">Prepared For: Executive Leadership Team</w:t>
      </w:r>
      <w:r>
        <w:br/>
      </w:r>
      <w:r>
        <w:t xml:space="preserve">Prepared By: [Marketing Manager Name]</w:t>
      </w:r>
      <w:r>
        <w:br/>
      </w:r>
      <w:r>
        <w:t xml:space="preserve">Date: October 26, 2023</w:t>
      </w:r>
      <w:r>
        <w:br/>
      </w:r>
      <w:r>
        <w:t xml:space="preserve">Region: Malaysia Kuala Lumpur</w:t>
      </w:r>
    </w:p>
    <w:bookmarkStart w:id="20" w:name="i.-executive-summary"/>
    <w:p>
      <w:pPr>
        <w:pStyle w:val="Heading3"/>
      </w:pPr>
      <w:r>
        <w:t xml:space="preserve">I. Executive Summary</w:t>
      </w:r>
    </w:p>
    <w:p>
      <w:pPr>
        <w:pStyle w:val="FirstParagraph"/>
      </w:pPr>
      <w:r>
        <w:t xml:space="preserve">This comprehensive Sales Report details the performance of our Marketing Department under the strategic leadership of our dedicated Marketing Manager in the dynamic Kuala Lumpur market. Covering Q3 2023 (July-September), this analysis demonstrates a 18.7% year-over-year sales growth in Malaysia Kuala Lumpur, significantly outperforming regional targets by 12%. The success stems directly from the Marketing Manager's localized campaigns, data-driven decision-making, and deep understanding of Malaysian consumer behavior. With KL as our flagship market in Southeast Asia, this report underscores how tailored marketing initiatives delivered by our Marketing Manager have positioned us for sustained dominance in the Malaysian consumer goods sector.</w:t>
      </w:r>
    </w:p>
    <w:bookmarkEnd w:id="20"/>
    <w:bookmarkStart w:id="21" w:name="X0964bed97380b355c8c55adf86c21007c540375"/>
    <w:p>
      <w:pPr>
        <w:pStyle w:val="Heading3"/>
      </w:pPr>
      <w:r>
        <w:t xml:space="preserve">II. Market Context: Malaysia Kuala Lumpur's Unique Dynamics</w:t>
      </w:r>
    </w:p>
    <w:p>
      <w:pPr>
        <w:pStyle w:val="FirstParagraph"/>
      </w:pPr>
      <w:r>
        <w:t xml:space="preserve">Kuala Lumpur represents one of the most competitive and culturally diverse markets in Southeast Asia, characterized by rapid urbanization, digital adoption rates exceeding 85%, and a young population (67% under 35). As the economic hub of Malaysia, KL accounts for 42% of national consumer spending. The Marketing Manager's success hinges on navigating this complexity – understanding ethnic diversity (Malay, Chinese, Indian communities), local festivals like Hari Raya and Deepavali, and the strong preference for social commerce. This Sales Report confirms that our Marketing Manager has mastered these nuances through hyper-localized strategies rather than generic regional approaches.</w:t>
      </w:r>
    </w:p>
    <w:bookmarkEnd w:id="21"/>
    <w:bookmarkStart w:id="22" w:name="X14b86829b763cca2d0ec37bc84baf6731e090b3"/>
    <w:p>
      <w:pPr>
        <w:pStyle w:val="Heading3"/>
      </w:pPr>
      <w:r>
        <w:t xml:space="preserve">III. Key Sales Performance Metrics (Q3 2023 - Malaysia Kuala Lumpur)</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Sales Revenue (RM)</w:t>
      </w:r>
    </w:p>
    <w:p>
      <w:pPr>
        <w:pStyle w:val="BodyText"/>
      </w:pPr>
      <w:r>
        <w:t xml:space="preserve">18.7M</w:t>
      </w:r>
    </w:p>
    <w:p>
      <w:pPr>
        <w:pStyle w:val="BodyText"/>
      </w:pPr>
      <w:r>
        <w:t xml:space="preserve">+18.7%</w:t>
      </w:r>
    </w:p>
    <w:p>
      <w:pPr>
        <w:pStyle w:val="BodyText"/>
      </w:pPr>
      <w:r>
        <w:t xml:space="preserve">+6.5%</w:t>
      </w:r>
    </w:p>
    <w:p>
      <w:pPr>
        <w:pStyle w:val="BodyText"/>
      </w:pPr>
      <w:r>
        <w:t xml:space="preserve">New Customer Acquisition</w:t>
      </w:r>
    </w:p>
    <w:p>
      <w:pPr>
        <w:pStyle w:val="BodyText"/>
      </w:pPr>
      <w:r>
        <w:t xml:space="preserve">24,300</w:t>
      </w:r>
    </w:p>
    <w:p>
      <w:pPr>
        <w:pStyle w:val="BodyText"/>
      </w:pPr>
      <w:r>
        <w:t xml:space="preserve">&lt;</w:t>
      </w:r>
    </w:p>
    <w:p>
      <w:pPr>
        <w:pStyle w:val="BodyText"/>
      </w:pPr>
      <w:r>
        <w:t xml:space="preserve">+29.4%</w:t>
      </w:r>
    </w:p>
    <w:p>
      <w:pPr>
        <w:pStyle w:val="BodyText"/>
      </w:pPr>
      <w:r>
        <w:t xml:space="preserve">&lt;</w:t>
      </w:r>
    </w:p>
    <w:p>
      <w:pPr>
        <w:pStyle w:val="BodyText"/>
      </w:pPr>
      <w:r>
        <w:t xml:space="preserve">+15%</w:t>
      </w:r>
    </w:p>
    <w:p>
      <w:pPr>
        <w:pStyle w:val="BodyText"/>
      </w:pPr>
      <w:r>
        <w:t xml:space="preserve">Customer Retention Rate</w:t>
      </w:r>
    </w:p>
    <w:p>
      <w:pPr>
        <w:pStyle w:val="BodyText"/>
      </w:pPr>
      <w:r>
        <w:t xml:space="preserve">&lt;</w:t>
      </w:r>
    </w:p>
    <w:p>
      <w:pPr>
        <w:pStyle w:val="BodyText"/>
      </w:pPr>
      <w:r>
        <w:t xml:space="preserve">78.6%</w:t>
      </w:r>
    </w:p>
    <w:p>
      <w:pPr>
        <w:pStyle w:val="BodyText"/>
      </w:pPr>
      <w:r>
        <w:t xml:space="preserve">+5.2pp</w:t>
      </w:r>
    </w:p>
    <w:p>
      <w:pPr>
        <w:pStyle w:val="BodyText"/>
      </w:pPr>
      <w:r>
        <w:t xml:space="preserve">Digital Engagement Rate</w:t>
      </w:r>
    </w:p>
    <w:p>
      <w:pPr>
        <w:pStyle w:val="BodyText"/>
      </w:pPr>
      <w:r>
        <w:t xml:space="preserve">14.3%</w:t>
      </w:r>
    </w:p>
    <w:p>
      <w:pPr>
        <w:pStyle w:val="BodyText"/>
      </w:pPr>
      <w:r>
        <w:t xml:space="preserve">+19.8%</w:t>
      </w:r>
    </w:p>
    <w:p>
      <w:pPr>
        <w:pStyle w:val="BodyText"/>
      </w:pPr>
      <w:r>
        <w:t xml:space="preserve">ROI on Marketing Spend</w:t>
      </w:r>
    </w:p>
    <w:p>
      <w:pPr>
        <w:pStyle w:val="BodyText"/>
      </w:pPr>
      <w:r>
        <w:t xml:space="preserve">1:5.8</w:t>
      </w:r>
    </w:p>
    <w:p>
      <w:pPr>
        <w:pStyle w:val="BodyText"/>
      </w:pPr>
      <w:r>
        <w:t xml:space="preserve">+0.7x</w:t>
      </w:r>
    </w:p>
    <w:bookmarkEnd w:id="22"/>
    <w:bookmarkStart w:id="26" w:name="X55dbf5c1b7d4cf9b8655f3b0daf916bd47e469a"/>
    <w:p>
      <w:pPr>
        <w:pStyle w:val="Heading3"/>
      </w:pPr>
      <w:r>
        <w:t xml:space="preserve">IV. Marketing Manager's Strategic Initiatives Driving Growth in KL</w:t>
      </w:r>
    </w:p>
    <w:p>
      <w:pPr>
        <w:pStyle w:val="FirstParagraph"/>
      </w:pPr>
      <w:r>
        <w:t xml:space="preserve">The Malaysia Kuala Lumpur Sales Report highlights three pivotal strategies spearheaded by our Marketing Manager:</w:t>
      </w:r>
    </w:p>
    <w:bookmarkStart w:id="23" w:name="Xe174166c4a6111aa66882eed716a867d91cfb53"/>
    <w:p>
      <w:pPr>
        <w:pStyle w:val="Heading4"/>
      </w:pPr>
      <w:r>
        <w:t xml:space="preserve">A. Festive Season Localization (Hari Raya Campaign)</w:t>
      </w:r>
    </w:p>
    <w:p>
      <w:pPr>
        <w:pStyle w:val="FirstParagraph"/>
      </w:pPr>
      <w:r>
        <w:t xml:space="preserve">Capitalizing on the 2023 Hari Raya celebration, the Marketing Manager developed culturally resonant content featuring KL-based influencers from diverse ethnic backgrounds. This initiative included 'Raya Care Packages' with locally sourced ingredients and a TikTok challenge encouraging users to share family recipes using our products. Result: 47% increase in social media conversions during campaign period, generating RM3.2M in sales – 3x the baseline.</w:t>
      </w:r>
    </w:p>
    <w:bookmarkEnd w:id="23"/>
    <w:bookmarkStart w:id="24" w:name="b.-hyper-local-digital-expansion"/>
    <w:p>
      <w:pPr>
        <w:pStyle w:val="Heading4"/>
      </w:pPr>
      <w:r>
        <w:t xml:space="preserve">B. Hyper-Local Digital Expansion</w:t>
      </w:r>
    </w:p>
    <w:p>
      <w:pPr>
        <w:pStyle w:val="FirstParagraph"/>
      </w:pPr>
      <w:r>
        <w:t xml:space="preserve">Recognizing KL's dominance in mobile commerce (89% of transactions), our Marketing Manager partnered with local platforms like Shopee Malaysia and GrabFood to create exclusive KL-only product bundles. The integration of MRT station QR codes for instant mobile promotions drove 32% higher foot traffic to partner stores. This data-driven approach directly increased sales velocity by 24% in KL's urban centers.</w:t>
      </w:r>
    </w:p>
    <w:bookmarkEnd w:id="24"/>
    <w:bookmarkStart w:id="25" w:name="c.-community-driven-loyalty-program"/>
    <w:p>
      <w:pPr>
        <w:pStyle w:val="Heading4"/>
      </w:pPr>
      <w:r>
        <w:t xml:space="preserve">C. Community-Driven Loyalty Program</w:t>
      </w:r>
    </w:p>
    <w:p>
      <w:pPr>
        <w:pStyle w:val="FirstParagraph"/>
      </w:pPr>
      <w:r>
        <w:t xml:space="preserve">Replacing generic loyalty points with 'KL Community Points', the Marketing Manager launched a program rewarding customers for participating in local events (e.g., KL Eco-Walks, Petaling Street clean-ups). This built authentic brand connections and generated 12,000 new high-value customer profiles – crucial for sustained growth in Malaysia Kuala Lumpur's relationship-driven market.</w:t>
      </w:r>
    </w:p>
    <w:bookmarkEnd w:id="25"/>
    <w:bookmarkEnd w:id="26"/>
    <w:bookmarkStart w:id="27" w:name="v.-competitive-landscape-analysis"/>
    <w:p>
      <w:pPr>
        <w:pStyle w:val="Heading3"/>
      </w:pPr>
      <w:r>
        <w:t xml:space="preserve">V. Competitive Landscape Analysis</w:t>
      </w:r>
    </w:p>
    <w:p>
      <w:pPr>
        <w:pStyle w:val="FirstParagraph"/>
      </w:pPr>
      <w:r>
        <w:t xml:space="preserve">The Sales Report indicates that our Marketing Manager successfully countered key competitor threats in KL through:</w:t>
      </w:r>
    </w:p>
    <w:p>
      <w:pPr>
        <w:numPr>
          <w:ilvl w:val="0"/>
          <w:numId w:val="1001"/>
        </w:numPr>
        <w:pStyle w:val="Compact"/>
      </w:pPr>
      <w:r>
        <w:t xml:space="preserve">Addressing price sensitivity during economic uncertainty with 'KL Value Bundles' (20% higher margins than industry average)</w:t>
      </w:r>
    </w:p>
    <w:p>
      <w:pPr>
        <w:numPr>
          <w:ilvl w:val="0"/>
          <w:numId w:val="1001"/>
        </w:numPr>
        <w:pStyle w:val="Compact"/>
      </w:pPr>
      <w:r>
        <w:t xml:space="preserve">Outperforming competitors' digital engagement by 37% through AI-driven personalization of email campaigns</w:t>
      </w:r>
    </w:p>
    <w:p>
      <w:pPr>
        <w:numPr>
          <w:ilvl w:val="0"/>
          <w:numId w:val="1001"/>
        </w:numPr>
        <w:pStyle w:val="Compact"/>
      </w:pPr>
      <w:r>
        <w:t xml:space="preserve">Securing 5 new premium retail partnerships (e.g., Pavilion KL, Sunway Pyramid) due to culturally attuned brand storytelling</w:t>
      </w:r>
    </w:p>
    <w:bookmarkEnd w:id="27"/>
    <w:bookmarkStart w:id="28" w:name="Xca60d86a221ddc12826352c5ee904569a390347"/>
    <w:p>
      <w:pPr>
        <w:pStyle w:val="Heading3"/>
      </w:pPr>
      <w:r>
        <w:t xml:space="preserve">VI. Challenges and Marketing Manager's Resolution Strategy</w:t>
      </w:r>
    </w:p>
    <w:p>
      <w:pPr>
        <w:pStyle w:val="FirstParagraph"/>
      </w:pPr>
      <w:r>
        <w:t xml:space="preserve">Despite strong performance, the Malaysia Kuala Lumpur market presented challenges in Q3:</w:t>
      </w:r>
    </w:p>
    <w:p>
      <w:pPr>
        <w:numPr>
          <w:ilvl w:val="0"/>
          <w:numId w:val="1002"/>
        </w:numPr>
        <w:pStyle w:val="Compact"/>
      </w:pPr>
      <w:r>
        <w:rPr>
          <w:bCs/>
          <w:b/>
        </w:rPr>
        <w:t xml:space="preserve">Challenge:</w:t>
      </w:r>
      <w:r>
        <w:t xml:space="preserve"> </w:t>
      </w:r>
      <w:r>
        <w:t xml:space="preserve">Supply chain delays affecting 15% of high-demand products during peak season</w:t>
      </w:r>
    </w:p>
    <w:p>
      <w:pPr>
        <w:numPr>
          <w:ilvl w:val="0"/>
          <w:numId w:val="1002"/>
        </w:numPr>
        <w:pStyle w:val="Compact"/>
      </w:pPr>
      <w:r>
        <w:rPr>
          <w:bCs/>
          <w:b/>
        </w:rPr>
        <w:t xml:space="preserve">Marketing Manager's Action:</w:t>
      </w:r>
      <w:r>
        <w:t xml:space="preserve"> </w:t>
      </w:r>
      <w:r>
        <w:t xml:space="preserve">Implemented a real-time inventory dashboard synced with KL distributors, enabling dynamic campaign adjustments. Reduced stockout impact by 68% through targeted 'waitlist' promotions.</w:t>
      </w:r>
    </w:p>
    <w:p>
      <w:pPr>
        <w:numPr>
          <w:ilvl w:val="0"/>
          <w:numId w:val="1002"/>
        </w:numPr>
        <w:pStyle w:val="Compact"/>
      </w:pPr>
      <w:r>
        <w:rPr>
          <w:bCs/>
          <w:b/>
        </w:rPr>
        <w:t xml:space="preserve">Challenge:</w:t>
      </w:r>
      <w:r>
        <w:t xml:space="preserve"> </w:t>
      </w:r>
      <w:r>
        <w:t xml:space="preserve">Rising digital ad costs (+23%) due to increased competition</w:t>
      </w:r>
    </w:p>
    <w:p>
      <w:pPr>
        <w:numPr>
          <w:ilvl w:val="0"/>
          <w:numId w:val="1002"/>
        </w:numPr>
        <w:pStyle w:val="Compact"/>
      </w:pPr>
      <w:r>
        <w:rPr>
          <w:bCs/>
          <w:b/>
        </w:rPr>
        <w:t xml:space="preserve">Marketing Manager's Action:</w:t>
      </w:r>
      <w:r>
        <w:t xml:space="preserve"> </w:t>
      </w:r>
      <w:r>
        <w:t xml:space="preserve">Shifted focus from broad social ads to high-intent micro-influencer collaborations (10-50k followers) achieving 41% lower cost-per-acquisition.</w:t>
      </w:r>
    </w:p>
    <w:bookmarkEnd w:id="28"/>
    <w:bookmarkStart w:id="29" w:name="Xb8f7343e2a5ba6f2f417a4a0889455379e3c545"/>
    <w:p>
      <w:pPr>
        <w:pStyle w:val="Heading3"/>
      </w:pPr>
      <w:r>
        <w:t xml:space="preserve">VII. Strategic Recommendations for Future Growth</w:t>
      </w:r>
    </w:p>
    <w:p>
      <w:pPr>
        <w:pStyle w:val="FirstParagraph"/>
      </w:pPr>
      <w:r>
        <w:t xml:space="preserve">Based on this Sales Report, the Marketing Manager proposes:</w:t>
      </w:r>
    </w:p>
    <w:p>
      <w:pPr>
        <w:numPr>
          <w:ilvl w:val="0"/>
          <w:numId w:val="1003"/>
        </w:numPr>
        <w:pStyle w:val="Compact"/>
      </w:pPr>
      <w:r>
        <w:rPr>
          <w:bCs/>
          <w:b/>
        </w:rPr>
        <w:t xml:space="preserve">Expand 'KL Neighborhood Campaigns':</w:t>
      </w:r>
      <w:r>
        <w:t xml:space="preserve"> </w:t>
      </w:r>
      <w:r>
        <w:t xml:space="preserve">Target 10 new sub-districts (e.g., Bangsar, Damansara) with hyper-localized content in 2024. Projected impact: +15% market share in suburban KL.</w:t>
      </w:r>
    </w:p>
    <w:p>
      <w:pPr>
        <w:numPr>
          <w:ilvl w:val="0"/>
          <w:numId w:val="1003"/>
        </w:numPr>
        <w:pStyle w:val="Compact"/>
      </w:pPr>
      <w:r>
        <w:rPr>
          <w:bCs/>
          <w:b/>
        </w:rPr>
        <w:t xml:space="preserve">Launch KL Sustainability Initiative:</w:t>
      </w:r>
      <w:r>
        <w:t xml:space="preserve"> </w:t>
      </w:r>
      <w:r>
        <w:t xml:space="preserve">Partner with EcoKL for zero-waste packaging – aligning with local eco-conscious consumer trends (68% of KL shoppers prioritize sustainability).</w:t>
      </w:r>
    </w:p>
    <w:p>
      <w:pPr>
        <w:numPr>
          <w:ilvl w:val="0"/>
          <w:numId w:val="1003"/>
        </w:numPr>
        <w:pStyle w:val="Compact"/>
      </w:pPr>
      <w:r>
        <w:rPr>
          <w:bCs/>
          <w:b/>
        </w:rPr>
        <w:t xml:space="preserve">Enhance Data Integration:</w:t>
      </w:r>
      <w:r>
        <w:t xml:space="preserve"> </w:t>
      </w:r>
      <w:r>
        <w:t xml:space="preserve">Create a real-time Malaysia Kuala Lumpur Consumer Pulse Dashboard using POS data, social sentiment, and economic indicators to forecast demand with 92% accuracy.</w:t>
      </w:r>
    </w:p>
    <w:bookmarkEnd w:id="29"/>
    <w:bookmarkStart w:id="30" w:name="Xf321af6c6954f15038107817f0849c24de14c29"/>
    <w:p>
      <w:pPr>
        <w:pStyle w:val="Heading3"/>
      </w:pPr>
      <w:r>
        <w:t xml:space="preserve">VIII. Conclusion: The Marketing Manager's Value Proposition</w:t>
      </w:r>
    </w:p>
    <w:p>
      <w:pPr>
        <w:pStyle w:val="FirstParagraph"/>
      </w:pPr>
      <w:r>
        <w:t xml:space="preserve">This Sales Report unequivocally demonstrates how the Marketing Manager's deep expertise in Malaysia Kuala Lumpur's market intricacies has driven exceptional results. By moving beyond generic Southeast Asian strategies to implement culturally intelligent, data-optimized campaigns, they have not only exceeded sales targets but also built sustainable brand equity. The 18.7% YoY growth – significantly above regional benchmarks – proves that localized marketing leadership is the key differentiator in KL's competitive landscape.</w:t>
      </w:r>
    </w:p>
    <w:p>
      <w:pPr>
        <w:pStyle w:val="BodyText"/>
      </w:pPr>
      <w:r>
        <w:t xml:space="preserve">As Malaysia's digital economy accelerates toward RM200 billion by 2025, the Marketing Manager's ability to translate global brand strategy into hyper-localized actions positions us for continued dominance. Their strategic focus on community engagement, digital innovation, and cultural authenticity has established Malaysia Kuala Lumpur as our most profitable market – a testament to the critical role of an experienced Marketing Manager in achieving regional success.</w:t>
      </w:r>
    </w:p>
    <w:p>
      <w:pPr>
        <w:pStyle w:val="BodyText"/>
      </w:pPr>
      <w:r>
        <w:rPr>
          <w:bCs/>
          <w:b/>
        </w:rPr>
        <w:t xml:space="preserve">Recommendation:</w:t>
      </w:r>
      <w:r>
        <w:t xml:space="preserve"> </w:t>
      </w:r>
      <w:r>
        <w:t xml:space="preserve">Approve budget allocation for KL-specific initiatives (RM2.4M) as proposed by the Marketing Manager to capture 30% market share growth in Q1 2024. This investment will yield RM15.7M incremental revenue based on current performance trajectories.</w:t>
      </w:r>
    </w:p>
    <w:p>
      <w:pPr>
        <w:pStyle w:val="BodyText"/>
      </w:pPr>
      <w:r>
        <w:rPr>
          <w:bCs/>
          <w:b/>
        </w:rPr>
        <w:t xml:space="preserve">Prepared By:</w:t>
      </w:r>
      <w:r>
        <w:t xml:space="preserve"> </w:t>
      </w:r>
      <w:r>
        <w:t xml:space="preserve">[Marketing Manager Name]</w:t>
      </w:r>
      <w:r>
        <w:br/>
      </w:r>
      <w:r>
        <w:rPr>
          <w:bCs/>
          <w:b/>
        </w:rPr>
        <w:t xml:space="preserve">Director of Marketing, Malaysia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Malaysia Kuala Lumpur</dc:title>
  <dc:creator/>
  <dc:language>en</dc:language>
  <cp:keywords/>
  <dcterms:created xsi:type="dcterms:W3CDTF">2026-07-24T00:32:27Z</dcterms:created>
  <dcterms:modified xsi:type="dcterms:W3CDTF">2026-07-24T00:32:27Z</dcterms:modified>
</cp:coreProperties>
</file>

<file path=docProps/custom.xml><?xml version="1.0" encoding="utf-8"?>
<Properties xmlns="http://schemas.openxmlformats.org/officeDocument/2006/custom-properties" xmlns:vt="http://schemas.openxmlformats.org/officeDocument/2006/docPropsVTypes"/>
</file>