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p>
    <w:bookmarkStart w:id="27" w:name="X5f24aa43cfd5c5a43221dface10d2bd56dec423"/>
    <w:p>
      <w:pPr>
        <w:pStyle w:val="Heading1"/>
      </w:pPr>
      <w:r>
        <w:t xml:space="preserve">Q3 2023 Sales Performance &amp; Strategic Insights Report for Morocco Casablanca</w:t>
      </w:r>
    </w:p>
    <w:p>
      <w:pPr>
        <w:pStyle w:val="FirstParagraph"/>
      </w:pPr>
      <w:r>
        <w:rPr>
          <w:bCs/>
          <w:b/>
        </w:rPr>
        <w:t xml:space="preserve">Prepared For:</w:t>
      </w:r>
      <w:r>
        <w:t xml:space="preserve"> </w:t>
      </w:r>
      <w:r>
        <w:t xml:space="preserve">Executive Leadership Team</w:t>
      </w:r>
      <w:r>
        <w:br/>
      </w:r>
      <w:r>
        <w:rPr>
          <w:bCs/>
          <w:b/>
        </w:rPr>
        <w:t xml:space="preserve">Prepared By:</w:t>
      </w:r>
      <w:r>
        <w:t xml:space="preserve"> </w:t>
      </w:r>
      <w:r>
        <w:t xml:space="preserve">Marketing Manager, North Africa Region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operations in Morocco Casablanca during Q3 2023. As Marketing Manager for the North Africa region, I am pleased to report a 14.7% YoY increase in sales revenue within Morocco Casablanca, significantly exceeding our target of 10%. This growth was driven by strategic marketing initiatives tailored to the unique dynamics of Casablanca's urban marketplace. The Sales Report underscores the effectiveness of localized campaigns executed under my leadership as Marketing Manager, positioning us competitively against regional players in Morocco's most lucrative commercial hub. Our success in Morocco Casablanca directly contributes to our overall North Africa market share expansion.</w:t>
      </w:r>
    </w:p>
    <w:bookmarkEnd w:id="20"/>
    <w:bookmarkStart w:id="21" w:name="ii.-market-context-morocco-casablanca"/>
    <w:p>
      <w:pPr>
        <w:pStyle w:val="Heading2"/>
      </w:pPr>
      <w:r>
        <w:t xml:space="preserve">II. Market Context: Morocco Casablanca</w:t>
      </w:r>
    </w:p>
    <w:p>
      <w:pPr>
        <w:pStyle w:val="FirstParagraph"/>
      </w:pPr>
      <w:r>
        <w:t xml:space="preserve">Casablanca remains the economic engine of Morocco, accounting for 35% of national GDP and housing 60% of the country's Fortune 500 companies. As Marketing Manager operating in this high-density urban environment, we've witnessed accelerating demand for premium consumer goods driven by rising disposable incomes among Casablanca's middle-class demographic (18-45 age group). The Sales Report confirms that our market penetration in Morocco Casablanca has reached 28.3% – up from 24.1% in Q2 – demonstrating the efficacy of our localized strategy. Key competitive pressures include intensified promotions by regional rivals and shifting consumer preferences toward digital-first purchasing channels, which necessitated agile marketing responses from the Marketing Manager team.</w:t>
      </w:r>
    </w:p>
    <w:bookmarkEnd w:id="21"/>
    <w:bookmarkStart w:id="22" w:name="iii.-sales-performance-breakdown"/>
    <w:p>
      <w:pPr>
        <w:pStyle w:val="Heading2"/>
      </w:pPr>
      <w:r>
        <w:t xml:space="preserve">III.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(M MAD)</w:t>
            </w:r>
          </w:p>
        </w:tc>
        <w:tc>
          <w:tcPr/>
          <w:p>
            <w:pPr>
              <w:pStyle w:val="Compact"/>
              <w:jc w:val="left"/>
            </w:pPr>
            <w:r>
              <w:t xml:space="preserve">% Growth YoY</w:t>
            </w:r>
          </w:p>
        </w:tc>
        <w:tc>
          <w:tcPr/>
          <w:p>
            <w:pPr>
              <w:pStyle w:val="Compact"/>
              <w:jc w:val="left"/>
            </w:pPr>
            <w:r>
              <w:t xml:space="preserve">Market Share (Casablanca)</w:t>
            </w:r>
          </w:p>
        </w:tc>
      </w:tr>
      <w:tr>
        <w:tc>
          <w:tcPr/>
          <w:p>
            <w:pPr>
              <w:pStyle w:val="Compact"/>
              <w:jc w:val="left"/>
            </w:pPr>
            <w:r>
              <w:t xml:space="preserve">Premium Beverages</w:t>
            </w:r>
          </w:p>
        </w:tc>
        <w:tc>
          <w:tcPr/>
          <w:p>
            <w:pPr>
              <w:pStyle w:val="Compact"/>
              <w:jc w:val="left"/>
            </w:pPr>
            <w:r>
              <w:t xml:space="preserve">18.7</w:t>
            </w:r>
          </w:p>
        </w:tc>
        <w:tc>
          <w:tcPr/>
          <w:p>
            <w:pPr>
              <w:pStyle w:val="Compact"/>
              <w:jc w:val="left"/>
            </w:pPr>
            <w:r>
              <w:t xml:space="preserve">22.4%</w:t>
            </w:r>
          </w:p>
        </w:tc>
        <w:tc>
          <w:tcPr/>
          <w:p>
            <w:pPr>
              <w:pStyle w:val="Compact"/>
              <w:jc w:val="left"/>
            </w:pPr>
            <w:r>
              <w:t xml:space="preserve">31.6%</w:t>
            </w:r>
          </w:p>
        </w:tc>
      </w:tr>
      <w:tr>
        <w:tc>
          <w:tcPr/>
          <w:p>
            <w:pPr>
              <w:pStyle w:val="Compact"/>
              <w:jc w:val="left"/>
            </w:pPr>
            <w:r>
              <w:t xml:space="preserve">Sustainable Personal Care</w:t>
            </w:r>
          </w:p>
        </w:tc>
        <w:tc>
          <w:tcPr/>
          <w:p>
            <w:pPr>
              <w:pStyle w:val="Compact"/>
              <w:jc w:val="left"/>
            </w:pPr>
            <w:r>
              <w:t xml:space="preserve">9.3</w:t>
            </w:r>
          </w:p>
        </w:tc>
        <w:tc>
          <w:tcPr/>
          <w:p>
            <w:pPr>
              <w:pStyle w:val="Compact"/>
              <w:jc w:val="left"/>
            </w:pPr>
            <w:r>
              <w:t xml:space="preserve">17.8%</w:t>
            </w:r>
          </w:p>
        </w:tc>
        <w:tc>
          <w:tcPr/>
          <w:p>
            <w:pPr>
              <w:pStyle w:val="Compact"/>
              <w:jc w:val="left"/>
            </w:pPr>
            <w:r>
              <w:t xml:space="preserve">25.1%</w:t>
            </w:r>
          </w:p>
        </w:tc>
      </w:tr>
      <w:tr>
        <w:tc>
          <w:tcPr/>
          <w:p>
            <w:pPr>
              <w:pStyle w:val="Compact"/>
              <w:jc w:val="left"/>
            </w:pPr>
            <w:r>
              <w:t xml:space="preserve">Total Revenue (Morocco Casablanca)</w:t>
            </w:r>
          </w:p>
        </w:tc>
        <w:tc>
          <w:tcPr/>
          <w:p>
            <w:pPr>
              <w:pStyle w:val="Compact"/>
            </w:pPr>
          </w:p>
        </w:tc>
        <w:tc>
          <w:tcPr/>
          <w:p>
            <w:pPr>
              <w:pStyle w:val="Compact"/>
            </w:pPr>
          </w:p>
        </w:tc>
        <w:tc>
          <w:tcPr/>
          <w:p>
            <w:pPr>
              <w:pStyle w:val="Compact"/>
            </w:pPr>
          </w:p>
        </w:tc>
      </w:tr>
      <w:tr>
        <w:tc>
          <w:tcPr/>
          <w:p>
            <w:pPr>
              <w:pStyle w:val="Compact"/>
              <w:jc w:val="left"/>
            </w:pPr>
            <w:r>
              <w:t xml:space="preserve">Total</w:t>
            </w:r>
          </w:p>
        </w:tc>
        <w:tc>
          <w:tcPr/>
          <w:p>
            <w:pPr>
              <w:pStyle w:val="Compact"/>
              <w:jc w:val="left"/>
            </w:pPr>
            <w:r>
              <w:rPr>
                <w:bCs/>
                <w:b/>
              </w:rPr>
              <w:t xml:space="preserve">28.0</w:t>
            </w:r>
          </w:p>
        </w:tc>
        <w:tc>
          <w:tcPr/>
          <w:p>
            <w:pPr>
              <w:pStyle w:val="Compact"/>
              <w:jc w:val="left"/>
            </w:pPr>
            <w:r>
              <w:rPr>
                <w:bCs/>
                <w:b/>
              </w:rPr>
              <w:t xml:space="preserve">14.7%</w:t>
            </w:r>
          </w:p>
        </w:tc>
        <w:tc>
          <w:tcPr/>
          <w:p>
            <w:pPr>
              <w:pStyle w:val="Compact"/>
              <w:jc w:val="left"/>
            </w:pPr>
            <w:r>
              <w:rPr>
                <w:bCs/>
                <w:b/>
              </w:rPr>
              <w:t xml:space="preserve">28.3%</w:t>
            </w:r>
          </w:p>
        </w:tc>
      </w:tr>
    </w:tbl>
    <w:p>
      <w:pPr>
        <w:pStyle w:val="BodyText"/>
      </w:pPr>
      <w:r>
        <w:t xml:space="preserve">The Sales Report reveals that our Premium Beverages category achieved remarkable growth due to a targeted Ramadan campaign in Morocco Casablanca, generating 52% of Q3 revenue. Notably, digital sales channels contributed 41% of total revenue – a 19-point increase from Q2 – directly resulting from the Marketing Manager's implementation of geo-targeted social media strategies. In Morocco Casablanca, we've observed strong cross-selling opportunities in retail partnerships with major supermarkets (Marjane, Carrefour) where our market share grew by 8.2% through co-branded promotions.</w:t>
      </w:r>
    </w:p>
    <w:bookmarkEnd w:id="22"/>
    <w:bookmarkStart w:id="23" w:name="iv.-marketing-strategy-execution"/>
    <w:p>
      <w:pPr>
        <w:pStyle w:val="Heading2"/>
      </w:pPr>
      <w:r>
        <w:t xml:space="preserve">IV. Marketing Strategy Execution</w:t>
      </w:r>
    </w:p>
    <w:p>
      <w:pPr>
        <w:pStyle w:val="FirstParagraph"/>
      </w:pPr>
      <w:r>
        <w:t xml:space="preserve">As Marketing Manager for Morocco Casablanca, I spearheaded three high-impact campaigns:</w:t>
      </w:r>
    </w:p>
    <w:p>
      <w:pPr>
        <w:numPr>
          <w:ilvl w:val="0"/>
          <w:numId w:val="1001"/>
        </w:numPr>
        <w:pStyle w:val="Compact"/>
      </w:pPr>
      <w:r>
        <w:rPr>
          <w:bCs/>
          <w:b/>
        </w:rPr>
        <w:t xml:space="preserve">Ramadan Eidi Campaign:</w:t>
      </w:r>
      <w:r>
        <w:t xml:space="preserve"> </w:t>
      </w:r>
      <w:r>
        <w:t xml:space="preserve">Localized digital content featuring Casablanca landmarks (Hassan II Mosque, Corniche) generated 120K social engagements. This campaign directly contributed to 38% of Q3 revenue growth in Morocco Casablanca.</w:t>
      </w:r>
    </w:p>
    <w:p>
      <w:pPr>
        <w:numPr>
          <w:ilvl w:val="0"/>
          <w:numId w:val="1001"/>
        </w:numPr>
        <w:pStyle w:val="Compact"/>
      </w:pPr>
      <w:r>
        <w:rPr>
          <w:bCs/>
          <w:b/>
        </w:rPr>
        <w:t xml:space="preserve">Casablanca Culture Festival Partnership:</w:t>
      </w:r>
      <w:r>
        <w:t xml:space="preserve"> </w:t>
      </w:r>
      <w:r>
        <w:t xml:space="preserve">Co-hosted with the city's cultural authority at Anfa Palace, driving foot traffic to 12 retail locations. Resulted in 27% higher conversion rates than standard promotions.</w:t>
      </w:r>
    </w:p>
    <w:p>
      <w:pPr>
        <w:numPr>
          <w:ilvl w:val="0"/>
          <w:numId w:val="1001"/>
        </w:numPr>
        <w:pStyle w:val="Compact"/>
      </w:pPr>
      <w:r>
        <w:rPr>
          <w:bCs/>
          <w:b/>
        </w:rPr>
        <w:t xml:space="preserve">Digital Loyalty Program Launch:</w:t>
      </w:r>
      <w:r>
        <w:t xml:space="preserve"> </w:t>
      </w:r>
      <w:r>
        <w:t xml:space="preserve">Mobile app integration with local payment systems (Mada, CMI) increased customer retention by 33% in Morocco Casablanca.</w:t>
      </w:r>
    </w:p>
    <w:p>
      <w:pPr>
        <w:pStyle w:val="FirstParagraph"/>
      </w:pPr>
      <w:r>
        <w:t xml:space="preserve">The Sales Report emphasizes that these initiatives collectively boosted brand recall by 47% among target demographics in Casablanca. Our Marketing Manager team's real-time analytics capabilities allowed for rapid campaign optimization – for instance, redirecting 22% of digital budget to TikTok after identifying its dominance among Casablanca's youth (ages 18-24).</w:t>
      </w:r>
    </w:p>
    <w:bookmarkEnd w:id="23"/>
    <w:bookmarkStart w:id="24" w:name="X9ca5883fbb9fbef5eeda503dc05ee1c566bea3f"/>
    <w:p>
      <w:pPr>
        <w:pStyle w:val="Heading2"/>
      </w:pPr>
      <w:r>
        <w:t xml:space="preserve">V. Challenges &amp; Opportunities in Morocco Casablanca</w:t>
      </w:r>
    </w:p>
    <w:p>
      <w:pPr>
        <w:pStyle w:val="FirstParagraph"/>
      </w:pPr>
      <w:r>
        <w:t xml:space="preserve">Despite strong performance, the Sales Report identifies critical challenges requiring attention. Rising logistics costs (+18% YoY) in Morocco Casablanca impacted profit margins, particularly for rural delivery routes outside central Casablanca. Additionally, competitor price wars during Q3 eroded our market share by 2.1% in the mid-tier segment – a vulnerability we're addressing through value-based marketing.</w:t>
      </w:r>
    </w:p>
    <w:p>
      <w:pPr>
        <w:pStyle w:val="BodyText"/>
      </w:pPr>
      <w:r>
        <w:t xml:space="preserve">However, significant opportunities exist. Morocco Casablanca's new urban development projects (e.g., Aïn Chock district) present untapped retail potential. The Sales Report identifies that 68% of our Q3 growth came from first-time buyers – signaling strong brand acquisition momentum. As Marketing Manager, I propose leveraging this to develop a "Casablanca Neighborhood Ambassador" program targeting community influencers in key districts (Huveaune, Sidi Moumen).</w:t>
      </w:r>
    </w:p>
    <w:bookmarkEnd w:id="24"/>
    <w:bookmarkStart w:id="25" w:name="vi.-strategic-recommendations"/>
    <w:p>
      <w:pPr>
        <w:pStyle w:val="Heading2"/>
      </w:pPr>
      <w:r>
        <w:t xml:space="preserve">VI. Strategic Recommendations</w:t>
      </w:r>
    </w:p>
    <w:p>
      <w:pPr>
        <w:numPr>
          <w:ilvl w:val="0"/>
          <w:numId w:val="1002"/>
        </w:numPr>
        <w:pStyle w:val="Compact"/>
      </w:pPr>
      <w:r>
        <w:rPr>
          <w:bCs/>
          <w:b/>
        </w:rPr>
        <w:t xml:space="preserve">Localized Product Innovation:</w:t>
      </w:r>
      <w:r>
        <w:t xml:space="preserve"> </w:t>
      </w:r>
      <w:r>
        <w:t xml:space="preserve">Develop Casablanca-specific limited editions incorporating local flavors (e.g., saffron-infused beverages), directly addressing consumer demand trends observed in our Morocco Casablanca market analysis.</w:t>
      </w:r>
    </w:p>
    <w:p>
      <w:pPr>
        <w:numPr>
          <w:ilvl w:val="0"/>
          <w:numId w:val="1002"/>
        </w:numPr>
        <w:pStyle w:val="Compact"/>
      </w:pPr>
      <w:r>
        <w:rPr>
          <w:bCs/>
          <w:b/>
        </w:rPr>
        <w:t xml:space="preserve">Digital Infrastructure Upgrade:</w:t>
      </w:r>
      <w:r>
        <w:t xml:space="preserve"> </w:t>
      </w:r>
      <w:r>
        <w:t xml:space="preserve">Allocate 15% of Q4 marketing budget to enhance mobile platform compatibility for low-bandwidth users – critical for expanding reach across all Casablanca districts.</w:t>
      </w:r>
    </w:p>
    <w:p>
      <w:pPr>
        <w:numPr>
          <w:ilvl w:val="0"/>
          <w:numId w:val="1002"/>
        </w:numPr>
        <w:pStyle w:val="Compact"/>
      </w:pPr>
      <w:r>
        <w:rPr>
          <w:bCs/>
          <w:b/>
        </w:rPr>
        <w:t xml:space="preserve">Strategic Partnership Expansion:</w:t>
      </w:r>
      <w:r>
        <w:t xml:space="preserve"> </w:t>
      </w:r>
      <w:r>
        <w:t xml:space="preserve">Forge exclusive partnerships with Casablanca-based fintechs (e.g., CMI) to bundle products with financial services, enhancing customer lifetime value in Morocco Casablanca.</w:t>
      </w:r>
    </w:p>
    <w:bookmarkEnd w:id="25"/>
    <w:bookmarkStart w:id="26" w:name="vii.-conclusion"/>
    <w:p>
      <w:pPr>
        <w:pStyle w:val="Heading2"/>
      </w:pPr>
      <w:r>
        <w:t xml:space="preserve">VII. Conclusion</w:t>
      </w:r>
    </w:p>
    <w:p>
      <w:pPr>
        <w:pStyle w:val="FirstParagraph"/>
      </w:pPr>
      <w:r>
        <w:t xml:space="preserve">This Sales Report unequivocally demonstrates the success of our localized approach under the leadership of our Marketing Manager in Morocco Casablanca. The 14.7% revenue growth and 47% brand recall improvement position us as a market leader in North Africa's most dynamic city. Moving forward, I will maintain my focus as Marketing Manager on deepening our cultural integration within Morocco Casablanca – ensuring every campaign resonates with the city's unique identity. The next Sales Report will track our progress against these new initiatives, particularly their impact on the untapped potential of Casablanca's expanding urban population.</w:t>
      </w:r>
    </w:p>
    <w:p>
      <w:pPr>
        <w:pStyle w:val="BodyText"/>
      </w:pPr>
      <w:r>
        <w:t xml:space="preserve">Our continued focus on Morocco Casablanca as a strategic priority, led by an agile Marketing Manager team, will cement our leadership position and drive sustainable growth across North Africa. I recommend approving the Q4 budget allocation to implement the proposed strategies immediately.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Morocco Casablanca Market</dc:title>
  <dc:creator/>
  <dc:language>en</dc:language>
  <cp:keywords/>
  <dcterms:created xsi:type="dcterms:W3CDTF">2026-07-23T19:42:59Z</dcterms:created>
  <dcterms:modified xsi:type="dcterms:W3CDTF">2026-07-23T19:42:59Z</dcterms:modified>
</cp:coreProperties>
</file>

<file path=docProps/custom.xml><?xml version="1.0" encoding="utf-8"?>
<Properties xmlns="http://schemas.openxmlformats.org/officeDocument/2006/custom-properties" xmlns:vt="http://schemas.openxmlformats.org/officeDocument/2006/docPropsVTypes"/>
</file>